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54E" w:rsidRPr="00D55629" w:rsidRDefault="00CE454E" w:rsidP="002B7E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:rsidR="002B7E45" w:rsidRPr="00D55629" w:rsidRDefault="002B7E45" w:rsidP="002B7E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:rsidR="00CE454E" w:rsidRPr="00D55629" w:rsidRDefault="00CE454E" w:rsidP="00CE45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b/>
          <w:sz w:val="20"/>
          <w:szCs w:val="20"/>
          <w:lang w:val="en-GB"/>
        </w:rPr>
        <w:t>PAPER TITLE (10 PT BOLD WITH CAPITAL LETTERS)</w:t>
      </w:r>
    </w:p>
    <w:p w:rsidR="00CE454E" w:rsidRPr="00D55629" w:rsidRDefault="00CE454E" w:rsidP="00CE454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CE454E" w:rsidRPr="00D55629" w:rsidRDefault="00CE454E" w:rsidP="00CE45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b/>
          <w:i/>
          <w:sz w:val="20"/>
          <w:szCs w:val="20"/>
          <w:vertAlign w:val="superscript"/>
          <w:lang w:val="en-GB"/>
        </w:rPr>
        <w:t>1</w:t>
      </w:r>
      <w:r w:rsidRPr="00D55629">
        <w:rPr>
          <w:rFonts w:ascii="Times New Roman" w:hAnsi="Times New Roman" w:cs="Times New Roman"/>
          <w:b/>
          <w:i/>
          <w:sz w:val="20"/>
          <w:szCs w:val="20"/>
          <w:lang w:val="en-GB"/>
        </w:rPr>
        <w:t xml:space="preserve">LAST NAME First name, academic degree, </w:t>
      </w:r>
      <w:r w:rsidRPr="00D55629">
        <w:rPr>
          <w:rFonts w:ascii="Times New Roman" w:hAnsi="Times New Roman" w:cs="Times New Roman"/>
          <w:b/>
          <w:i/>
          <w:sz w:val="20"/>
          <w:szCs w:val="20"/>
          <w:vertAlign w:val="superscript"/>
          <w:lang w:val="en-GB"/>
        </w:rPr>
        <w:t>2</w:t>
      </w:r>
      <w:r w:rsidRPr="00D55629">
        <w:rPr>
          <w:rFonts w:ascii="Times New Roman" w:hAnsi="Times New Roman" w:cs="Times New Roman"/>
          <w:b/>
          <w:i/>
          <w:sz w:val="20"/>
          <w:szCs w:val="20"/>
          <w:lang w:val="en-GB"/>
        </w:rPr>
        <w:t>LAST NAME first name, academic degree (10 pt bold)</w:t>
      </w:r>
    </w:p>
    <w:p w:rsidR="00CE454E" w:rsidRPr="00D55629" w:rsidRDefault="00CE454E" w:rsidP="00CE454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1</w:t>
      </w:r>
      <w:r w:rsidRPr="00D55629">
        <w:rPr>
          <w:rFonts w:ascii="Times New Roman" w:hAnsi="Times New Roman" w:cs="Times New Roman"/>
          <w:i/>
          <w:sz w:val="20"/>
          <w:szCs w:val="20"/>
          <w:lang w:val="en-GB"/>
        </w:rPr>
        <w:t>Institute (</w:t>
      </w:r>
      <w:r w:rsidR="002B7E45" w:rsidRPr="00D55629">
        <w:rPr>
          <w:rFonts w:ascii="Times New Roman" w:hAnsi="Times New Roman" w:cs="Times New Roman"/>
          <w:i/>
          <w:sz w:val="20"/>
          <w:szCs w:val="20"/>
          <w:lang w:val="en-GB"/>
        </w:rPr>
        <w:t>10 pt</w:t>
      </w:r>
      <w:r w:rsidRPr="00D55629">
        <w:rPr>
          <w:rFonts w:ascii="Times New Roman" w:hAnsi="Times New Roman" w:cs="Times New Roman"/>
          <w:i/>
          <w:sz w:val="20"/>
          <w:szCs w:val="20"/>
          <w:lang w:val="en-GB"/>
        </w:rPr>
        <w:t>)</w:t>
      </w:r>
    </w:p>
    <w:p w:rsidR="00CE454E" w:rsidRPr="00D55629" w:rsidRDefault="00CE454E" w:rsidP="00CE454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i/>
          <w:sz w:val="20"/>
          <w:szCs w:val="20"/>
          <w:lang w:val="en-GB"/>
        </w:rPr>
        <w:t>E-mail:</w:t>
      </w:r>
      <w:r w:rsidR="002B7E45" w:rsidRPr="00D55629">
        <w:rPr>
          <w:rFonts w:ascii="Times New Roman" w:hAnsi="Times New Roman" w:cs="Times New Roman"/>
          <w:i/>
          <w:sz w:val="20"/>
          <w:szCs w:val="20"/>
          <w:lang w:val="en-GB"/>
        </w:rPr>
        <w:t xml:space="preserve"> (10 pt)</w:t>
      </w:r>
    </w:p>
    <w:p w:rsidR="00CE454E" w:rsidRPr="00D55629" w:rsidRDefault="00CE454E" w:rsidP="00CE454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i/>
          <w:sz w:val="20"/>
          <w:szCs w:val="20"/>
          <w:vertAlign w:val="superscript"/>
          <w:lang w:val="en-GB"/>
        </w:rPr>
        <w:t>2</w:t>
      </w:r>
      <w:r w:rsidRPr="00D55629">
        <w:rPr>
          <w:rFonts w:ascii="Times New Roman" w:hAnsi="Times New Roman" w:cs="Times New Roman"/>
          <w:i/>
          <w:sz w:val="20"/>
          <w:szCs w:val="20"/>
          <w:lang w:val="en-GB"/>
        </w:rPr>
        <w:t>Institute</w:t>
      </w:r>
    </w:p>
    <w:p w:rsidR="00CE454E" w:rsidRPr="00D55629" w:rsidRDefault="00CE454E" w:rsidP="00CE454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i/>
          <w:sz w:val="20"/>
          <w:szCs w:val="20"/>
          <w:lang w:val="en-GB"/>
        </w:rPr>
        <w:t>E-mail:</w:t>
      </w:r>
    </w:p>
    <w:p w:rsidR="00CE454E" w:rsidRPr="00D55629" w:rsidRDefault="00CE454E" w:rsidP="00D7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CE454E" w:rsidRPr="00D55629" w:rsidRDefault="002B7E45" w:rsidP="00D7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b/>
          <w:sz w:val="20"/>
          <w:szCs w:val="20"/>
          <w:lang w:val="en-GB"/>
        </w:rPr>
        <w:t>Keywords:</w:t>
      </w:r>
      <w:r w:rsidRPr="00D55629">
        <w:rPr>
          <w:rFonts w:ascii="Times New Roman" w:hAnsi="Times New Roman" w:cs="Times New Roman"/>
          <w:sz w:val="20"/>
          <w:szCs w:val="20"/>
          <w:lang w:val="en-GB"/>
        </w:rPr>
        <w:t xml:space="preserve"> List 3-5 keywords (</w:t>
      </w:r>
      <w:smartTag w:uri="urn:schemas-microsoft-com:office:smarttags" w:element="metricconverter">
        <w:smartTagPr>
          <w:attr w:name="ProductID" w:val="10 pt"/>
        </w:smartTagPr>
        <w:r w:rsidRPr="00D55629">
          <w:rPr>
            <w:rFonts w:ascii="Times New Roman" w:hAnsi="Times New Roman" w:cs="Times New Roman"/>
            <w:sz w:val="20"/>
            <w:szCs w:val="20"/>
            <w:lang w:val="en-GB"/>
          </w:rPr>
          <w:t>10 pt</w:t>
        </w:r>
      </w:smartTag>
      <w:r w:rsidRPr="00D55629">
        <w:rPr>
          <w:rFonts w:ascii="Times New Roman" w:hAnsi="Times New Roman" w:cs="Times New Roman"/>
          <w:sz w:val="20"/>
          <w:szCs w:val="20"/>
          <w:lang w:val="en-GB"/>
        </w:rPr>
        <w:t>).</w:t>
      </w:r>
    </w:p>
    <w:p w:rsidR="00CE454E" w:rsidRPr="00D55629" w:rsidRDefault="00CE454E" w:rsidP="00D7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CE454E" w:rsidRPr="00D55629" w:rsidRDefault="002B7E45" w:rsidP="00D7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sz w:val="20"/>
          <w:szCs w:val="20"/>
          <w:lang w:val="en-US"/>
        </w:rPr>
        <w:t>If your paper is accepted to the ISCAME 201</w:t>
      </w:r>
      <w:r w:rsidR="00D55629">
        <w:rPr>
          <w:rFonts w:ascii="Times New Roman" w:hAnsi="Times New Roman" w:cs="Times New Roman"/>
          <w:sz w:val="20"/>
          <w:szCs w:val="20"/>
          <w:lang w:val="en-US"/>
        </w:rPr>
        <w:t>9</w:t>
      </w:r>
      <w:r w:rsidRPr="00D55629">
        <w:rPr>
          <w:rFonts w:ascii="Times New Roman" w:hAnsi="Times New Roman" w:cs="Times New Roman"/>
          <w:sz w:val="20"/>
          <w:szCs w:val="20"/>
          <w:lang w:val="en-US"/>
        </w:rPr>
        <w:t xml:space="preserve"> conference, then the extended abstract is the version that will be published in the conference </w:t>
      </w:r>
      <w:r w:rsidRPr="00D55629">
        <w:rPr>
          <w:rFonts w:ascii="Times New Roman" w:hAnsi="Times New Roman" w:cs="Times New Roman"/>
          <w:i/>
          <w:sz w:val="20"/>
          <w:szCs w:val="20"/>
          <w:lang w:val="en-US"/>
        </w:rPr>
        <w:t>Book of Abstracts</w:t>
      </w:r>
      <w:r w:rsidRPr="00D55629">
        <w:rPr>
          <w:rFonts w:ascii="Times New Roman" w:hAnsi="Times New Roman" w:cs="Times New Roman"/>
          <w:sz w:val="20"/>
          <w:szCs w:val="20"/>
          <w:lang w:val="en-US"/>
        </w:rPr>
        <w:t xml:space="preserve"> electronic format. This means that the extended abstract needs to contain all the information that the author feels </w:t>
      </w:r>
      <w:proofErr w:type="gramStart"/>
      <w:r w:rsidRPr="00D55629">
        <w:rPr>
          <w:rFonts w:ascii="Times New Roman" w:hAnsi="Times New Roman" w:cs="Times New Roman"/>
          <w:sz w:val="20"/>
          <w:szCs w:val="20"/>
          <w:lang w:val="en-US"/>
        </w:rPr>
        <w:t>is</w:t>
      </w:r>
      <w:proofErr w:type="gramEnd"/>
      <w:r w:rsidRPr="00D55629">
        <w:rPr>
          <w:rFonts w:ascii="Times New Roman" w:hAnsi="Times New Roman" w:cs="Times New Roman"/>
          <w:sz w:val="20"/>
          <w:szCs w:val="20"/>
          <w:lang w:val="en-US"/>
        </w:rPr>
        <w:t xml:space="preserve"> essential that a reader of the full paper is made aware of. </w:t>
      </w:r>
      <w:r w:rsidRPr="00D55629">
        <w:rPr>
          <w:rFonts w:ascii="Times New Roman" w:hAnsi="Times New Roman" w:cs="Times New Roman"/>
          <w:sz w:val="20"/>
          <w:szCs w:val="20"/>
          <w:lang w:val="en-GB"/>
        </w:rPr>
        <w:t>Please take into consideration that the main sentences of the abstract must present the following aspects: placing the work in context (</w:t>
      </w:r>
      <w:r w:rsidRPr="00D55629">
        <w:rPr>
          <w:rFonts w:ascii="Times New Roman" w:hAnsi="Times New Roman" w:cs="Times New Roman"/>
          <w:sz w:val="20"/>
          <w:szCs w:val="20"/>
          <w:lang w:val="en-US"/>
        </w:rPr>
        <w:t>briefly review of the pertinent literature)</w:t>
      </w:r>
      <w:r w:rsidRPr="00D55629">
        <w:rPr>
          <w:rFonts w:ascii="Times New Roman" w:hAnsi="Times New Roman" w:cs="Times New Roman"/>
          <w:sz w:val="20"/>
          <w:szCs w:val="20"/>
          <w:lang w:val="en-GB"/>
        </w:rPr>
        <w:t>; the purpose of the work (</w:t>
      </w:r>
      <w:r w:rsidRPr="00D55629">
        <w:rPr>
          <w:rFonts w:ascii="Times New Roman" w:hAnsi="Times New Roman" w:cs="Times New Roman"/>
          <w:sz w:val="20"/>
          <w:szCs w:val="20"/>
          <w:lang w:val="en-US"/>
        </w:rPr>
        <w:t>present the scope and objectives of the paper and state the problem)</w:t>
      </w:r>
      <w:r w:rsidRPr="00D55629">
        <w:rPr>
          <w:rFonts w:ascii="Times New Roman" w:hAnsi="Times New Roman" w:cs="Times New Roman"/>
          <w:sz w:val="20"/>
          <w:szCs w:val="20"/>
          <w:lang w:val="en-GB"/>
        </w:rPr>
        <w:t>; explaining what was done (</w:t>
      </w:r>
      <w:r w:rsidRPr="00D55629">
        <w:rPr>
          <w:rFonts w:ascii="Times New Roman" w:hAnsi="Times New Roman" w:cs="Times New Roman"/>
          <w:sz w:val="20"/>
          <w:szCs w:val="20"/>
          <w:lang w:val="en-US"/>
        </w:rPr>
        <w:t>the methodology must be clearly stated and described in sufficient detail; the author shall explain the research question, describe the research framework and the method applied in detail and why the chosen method are suited for the problem; it should be highlighted why the research question is relevant to theory and practice</w:t>
      </w:r>
      <w:r w:rsidRPr="00D55629">
        <w:rPr>
          <w:rFonts w:ascii="Times New Roman" w:hAnsi="Times New Roman" w:cs="Times New Roman"/>
          <w:sz w:val="20"/>
          <w:szCs w:val="20"/>
          <w:lang w:val="en-GB"/>
        </w:rPr>
        <w:t xml:space="preserve">); indicating in detail the main results/findings of the work </w:t>
      </w:r>
      <w:r w:rsidRPr="00D55629">
        <w:rPr>
          <w:rFonts w:ascii="Times New Roman" w:hAnsi="Times New Roman" w:cs="Times New Roman"/>
          <w:sz w:val="20"/>
          <w:szCs w:val="20"/>
          <w:lang w:val="en-US"/>
        </w:rPr>
        <w:t>should be an essential part of the extended abstract</w:t>
      </w:r>
      <w:r w:rsidRPr="00D55629">
        <w:rPr>
          <w:rFonts w:ascii="Times New Roman" w:hAnsi="Times New Roman" w:cs="Times New Roman"/>
          <w:sz w:val="20"/>
          <w:szCs w:val="20"/>
          <w:lang w:val="en-GB"/>
        </w:rPr>
        <w:t>; the most important conclusions of the paper (</w:t>
      </w:r>
      <w:r w:rsidRPr="00D55629">
        <w:rPr>
          <w:rFonts w:ascii="Times New Roman" w:hAnsi="Times New Roman" w:cs="Times New Roman"/>
          <w:sz w:val="20"/>
          <w:szCs w:val="20"/>
          <w:lang w:val="en-US"/>
        </w:rPr>
        <w:t xml:space="preserve">principles and </w:t>
      </w:r>
      <w:r w:rsidRPr="00D55629">
        <w:rPr>
          <w:rFonts w:ascii="Times New Roman" w:hAnsi="Times New Roman" w:cs="Times New Roman"/>
          <w:sz w:val="20"/>
          <w:szCs w:val="20"/>
          <w:lang w:val="en-GB"/>
        </w:rPr>
        <w:t>generalisations</w:t>
      </w:r>
      <w:r w:rsidRPr="00D55629">
        <w:rPr>
          <w:rFonts w:ascii="Times New Roman" w:hAnsi="Times New Roman" w:cs="Times New Roman"/>
          <w:sz w:val="20"/>
          <w:szCs w:val="20"/>
          <w:lang w:val="en-US"/>
        </w:rPr>
        <w:t xml:space="preserve"> inferred from the results, theoretical and/or practical implications of the work, recommendations).</w:t>
      </w:r>
    </w:p>
    <w:p w:rsidR="00CE454E" w:rsidRPr="00D55629" w:rsidRDefault="00CE454E" w:rsidP="00D7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CE454E" w:rsidRPr="00D55629" w:rsidRDefault="002B7E45" w:rsidP="002B7E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noProof/>
          <w:sz w:val="20"/>
          <w:szCs w:val="20"/>
          <w:lang w:val="en-GB"/>
        </w:rPr>
        <w:drawing>
          <wp:inline distT="0" distB="0" distL="0" distR="0">
            <wp:extent cx="2901547" cy="2700670"/>
            <wp:effectExtent l="19050" t="0" r="0" b="0"/>
            <wp:docPr id="6" name="Kép 26" descr="FI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262" cy="27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54E" w:rsidRPr="00D55629" w:rsidRDefault="002B7E45" w:rsidP="002B7E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i/>
          <w:sz w:val="20"/>
          <w:szCs w:val="20"/>
          <w:lang w:val="en-GB"/>
        </w:rPr>
        <w:t>Figure 1</w:t>
      </w:r>
      <w:r w:rsidRPr="00D55629">
        <w:rPr>
          <w:rFonts w:ascii="Times New Roman" w:hAnsi="Times New Roman" w:cs="Times New Roman"/>
          <w:sz w:val="20"/>
          <w:szCs w:val="20"/>
          <w:lang w:val="en-GB"/>
        </w:rPr>
        <w:t xml:space="preserve"> Optimization range and learning points</w:t>
      </w:r>
    </w:p>
    <w:p w:rsidR="00CE454E" w:rsidRPr="00D55629" w:rsidRDefault="00CE454E" w:rsidP="00D7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CE454E" w:rsidRPr="00D55629" w:rsidRDefault="002B7E45" w:rsidP="00D7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sz w:val="20"/>
          <w:szCs w:val="20"/>
          <w:lang w:val="tr-TR"/>
        </w:rPr>
        <w:t>The extended abstract shall be written in 10-point Times New Roman, text should be justified and single line spacing. No lines between paragraphs. Extended abstracts can contain figures/images and tables and they should be centered. Page format should be 210 mm width and 297 mm height</w:t>
      </w:r>
      <w:r w:rsidRPr="00D5562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D55629">
        <w:rPr>
          <w:rFonts w:ascii="Times New Roman" w:hAnsi="Times New Roman" w:cs="Times New Roman"/>
          <w:sz w:val="20"/>
          <w:szCs w:val="20"/>
          <w:lang w:val="tr-TR"/>
        </w:rPr>
        <w:t xml:space="preserve">with margins 20 mm wide from the right, left and bottom, and 30 mm wide from the top. Pages will be numbered, currently 1 and 2. The extended </w:t>
      </w:r>
      <w:r w:rsidRPr="00D55629">
        <w:rPr>
          <w:rFonts w:ascii="Times New Roman" w:hAnsi="Times New Roman" w:cs="Times New Roman"/>
          <w:sz w:val="20"/>
          <w:szCs w:val="20"/>
          <w:lang w:val="en-US"/>
        </w:rPr>
        <w:t xml:space="preserve">abstract should be written clearly and in good English and </w:t>
      </w:r>
      <w:r w:rsidRPr="00212CF2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must be written on two pages</w:t>
      </w:r>
      <w:r w:rsidRPr="00212CF2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</w:p>
    <w:p w:rsidR="00CE454E" w:rsidRPr="00D55629" w:rsidRDefault="00CE454E" w:rsidP="002B7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2B7E45" w:rsidRPr="00D55629" w:rsidRDefault="002B7E45" w:rsidP="002B7E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D55629">
        <w:rPr>
          <w:rFonts w:ascii="Times New Roman" w:hAnsi="Times New Roman" w:cs="Times New Roman"/>
          <w:i/>
          <w:sz w:val="20"/>
          <w:szCs w:val="20"/>
        </w:rPr>
        <w:t>Table</w:t>
      </w:r>
      <w:proofErr w:type="spellEnd"/>
      <w:r w:rsidRPr="00D55629">
        <w:rPr>
          <w:rFonts w:ascii="Times New Roman" w:hAnsi="Times New Roman" w:cs="Times New Roman"/>
          <w:i/>
          <w:sz w:val="20"/>
          <w:szCs w:val="20"/>
        </w:rPr>
        <w:t xml:space="preserve"> 1</w:t>
      </w:r>
      <w:r w:rsidRPr="00D55629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D5562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D55629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D55629">
        <w:rPr>
          <w:rFonts w:ascii="Times New Roman" w:hAnsi="Times New Roman" w:cs="Times New Roman"/>
          <w:sz w:val="20"/>
          <w:szCs w:val="20"/>
        </w:rPr>
        <w:t>investigated</w:t>
      </w:r>
      <w:proofErr w:type="spellEnd"/>
      <w:r w:rsidRPr="00D556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5629">
        <w:rPr>
          <w:rFonts w:ascii="Times New Roman" w:hAnsi="Times New Roman" w:cs="Times New Roman"/>
          <w:sz w:val="20"/>
          <w:szCs w:val="20"/>
        </w:rPr>
        <w:t>rubber</w:t>
      </w:r>
      <w:proofErr w:type="spellEnd"/>
      <w:r w:rsidRPr="00D55629">
        <w:rPr>
          <w:rFonts w:ascii="Times New Roman" w:hAnsi="Times New Roman" w:cs="Times New Roman"/>
          <w:sz w:val="20"/>
          <w:szCs w:val="20"/>
        </w:rPr>
        <w:t xml:space="preserve"> part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69"/>
        <w:gridCol w:w="1134"/>
        <w:gridCol w:w="3118"/>
        <w:gridCol w:w="1718"/>
      </w:tblGrid>
      <w:tr w:rsidR="002B7E45" w:rsidRPr="00D55629" w:rsidTr="00024BA2">
        <w:trPr>
          <w:jc w:val="center"/>
        </w:trPr>
        <w:tc>
          <w:tcPr>
            <w:tcW w:w="3703" w:type="dxa"/>
            <w:gridSpan w:val="2"/>
          </w:tcPr>
          <w:p w:rsidR="002B7E45" w:rsidRPr="00D55629" w:rsidRDefault="002B7E45" w:rsidP="002B7E45">
            <w:pPr>
              <w:jc w:val="center"/>
            </w:pPr>
            <w:proofErr w:type="spellStart"/>
            <w:r w:rsidRPr="00D55629">
              <w:t>Geometry</w:t>
            </w:r>
            <w:proofErr w:type="spellEnd"/>
          </w:p>
        </w:tc>
        <w:tc>
          <w:tcPr>
            <w:tcW w:w="4836" w:type="dxa"/>
            <w:gridSpan w:val="2"/>
          </w:tcPr>
          <w:p w:rsidR="002B7E45" w:rsidRPr="00D55629" w:rsidRDefault="002B7E45" w:rsidP="002B7E45">
            <w:pPr>
              <w:jc w:val="center"/>
            </w:pPr>
            <w:proofErr w:type="spellStart"/>
            <w:r w:rsidRPr="00D55629">
              <w:t>Numerical</w:t>
            </w:r>
            <w:proofErr w:type="spellEnd"/>
            <w:r w:rsidRPr="00D55629">
              <w:t xml:space="preserve"> </w:t>
            </w:r>
            <w:proofErr w:type="spellStart"/>
            <w:r w:rsidRPr="00D55629">
              <w:t>material</w:t>
            </w:r>
            <w:proofErr w:type="spellEnd"/>
            <w:r w:rsidRPr="00D55629">
              <w:t xml:space="preserve"> </w:t>
            </w:r>
            <w:proofErr w:type="spellStart"/>
            <w:r w:rsidRPr="00D55629">
              <w:t>properties</w:t>
            </w:r>
            <w:proofErr w:type="spellEnd"/>
          </w:p>
        </w:tc>
      </w:tr>
      <w:tr w:rsidR="002B7E45" w:rsidRPr="00D55629" w:rsidTr="00024BA2">
        <w:trPr>
          <w:jc w:val="center"/>
        </w:trPr>
        <w:tc>
          <w:tcPr>
            <w:tcW w:w="2569" w:type="dxa"/>
          </w:tcPr>
          <w:p w:rsidR="002B7E45" w:rsidRPr="00D55629" w:rsidRDefault="002B7E45" w:rsidP="002B7E45">
            <w:pPr>
              <w:jc w:val="both"/>
            </w:pPr>
            <w:proofErr w:type="spellStart"/>
            <w:r w:rsidRPr="00D55629">
              <w:t>Height</w:t>
            </w:r>
            <w:proofErr w:type="spellEnd"/>
            <w:r w:rsidRPr="00D55629">
              <w:t xml:space="preserve"> </w:t>
            </w:r>
            <m:oMath>
              <m:r>
                <w:rPr>
                  <w:rFonts w:ascii="Cambria Math" w:hAnsi="Cambria Math"/>
                </w:rPr>
                <m:t>(H)</m:t>
              </m:r>
            </m:oMath>
          </w:p>
        </w:tc>
        <w:tc>
          <w:tcPr>
            <w:tcW w:w="1134" w:type="dxa"/>
          </w:tcPr>
          <w:p w:rsidR="002B7E45" w:rsidRPr="00D55629" w:rsidRDefault="002B7E45" w:rsidP="002B7E45">
            <w:pPr>
              <w:jc w:val="center"/>
            </w:pPr>
            <w:r w:rsidRPr="00D55629">
              <w:t>120</w:t>
            </w:r>
            <w:r w:rsidRPr="00D55629">
              <w:rPr>
                <w:i/>
              </w:rPr>
              <w:t>mm</w:t>
            </w:r>
          </w:p>
        </w:tc>
        <w:tc>
          <w:tcPr>
            <w:tcW w:w="3118" w:type="dxa"/>
          </w:tcPr>
          <w:p w:rsidR="002B7E45" w:rsidRPr="00D55629" w:rsidRDefault="002B7E45" w:rsidP="002B7E45">
            <w:proofErr w:type="spellStart"/>
            <w:r w:rsidRPr="00D55629">
              <w:t>Material</w:t>
            </w:r>
            <w:proofErr w:type="spellEnd"/>
            <w:r w:rsidRPr="00D55629">
              <w:t xml:space="preserve"> constant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10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1718" w:type="dxa"/>
          </w:tcPr>
          <w:p w:rsidR="002B7E45" w:rsidRPr="00D55629" w:rsidRDefault="002B7E45" w:rsidP="002B7E45">
            <w:pPr>
              <w:jc w:val="center"/>
            </w:pPr>
            <w:r w:rsidRPr="00D55629">
              <w:t>0.8</w:t>
            </w:r>
            <w:r w:rsidRPr="00D55629">
              <w:rPr>
                <w:i/>
              </w:rPr>
              <w:t>MPa</w:t>
            </w:r>
          </w:p>
        </w:tc>
      </w:tr>
      <w:tr w:rsidR="002B7E45" w:rsidRPr="00D55629" w:rsidTr="00024BA2">
        <w:trPr>
          <w:jc w:val="center"/>
        </w:trPr>
        <w:tc>
          <w:tcPr>
            <w:tcW w:w="2569" w:type="dxa"/>
          </w:tcPr>
          <w:p w:rsidR="002B7E45" w:rsidRPr="00D55629" w:rsidRDefault="002B7E45" w:rsidP="002B7E45">
            <w:pPr>
              <w:jc w:val="both"/>
            </w:pPr>
            <w:proofErr w:type="spellStart"/>
            <w:r w:rsidRPr="00D55629">
              <w:t>Outer</w:t>
            </w:r>
            <w:proofErr w:type="spellEnd"/>
            <w:r w:rsidRPr="00D55629">
              <w:t xml:space="preserve"> </w:t>
            </w:r>
            <w:proofErr w:type="spellStart"/>
            <w:r w:rsidRPr="00D55629">
              <w:t>diameter</w:t>
            </w:r>
            <w:proofErr w:type="spellEnd"/>
            <w:r w:rsidRPr="00D55629">
              <w:t xml:space="preserve"> </w:t>
            </w:r>
            <m:oMath>
              <m:r>
                <w:rPr>
                  <w:rFonts w:ascii="Cambria Math" w:hAnsi="Cambria Math"/>
                </w:rPr>
                <m:t>(D)</m:t>
              </m:r>
            </m:oMath>
          </w:p>
        </w:tc>
        <w:tc>
          <w:tcPr>
            <w:tcW w:w="1134" w:type="dxa"/>
          </w:tcPr>
          <w:p w:rsidR="002B7E45" w:rsidRPr="00D55629" w:rsidRDefault="002B7E45" w:rsidP="002B7E45">
            <w:pPr>
              <w:jc w:val="center"/>
            </w:pPr>
            <w:r w:rsidRPr="00D55629">
              <w:t>120</w:t>
            </w:r>
            <w:r w:rsidRPr="00D55629">
              <w:rPr>
                <w:i/>
              </w:rPr>
              <w:t>mm</w:t>
            </w:r>
          </w:p>
        </w:tc>
        <w:tc>
          <w:tcPr>
            <w:tcW w:w="3118" w:type="dxa"/>
          </w:tcPr>
          <w:p w:rsidR="002B7E45" w:rsidRPr="00D55629" w:rsidRDefault="002B7E45" w:rsidP="002B7E45">
            <w:proofErr w:type="spellStart"/>
            <w:r w:rsidRPr="00D55629">
              <w:t>Material</w:t>
            </w:r>
            <w:proofErr w:type="spellEnd"/>
            <w:r w:rsidRPr="00D55629">
              <w:t xml:space="preserve"> constant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1718" w:type="dxa"/>
          </w:tcPr>
          <w:p w:rsidR="002B7E45" w:rsidRPr="00D55629" w:rsidRDefault="002B7E45" w:rsidP="002B7E45">
            <w:pPr>
              <w:jc w:val="center"/>
            </w:pPr>
            <w:r w:rsidRPr="00D55629">
              <w:t>0.2</w:t>
            </w:r>
            <w:r w:rsidRPr="00D55629">
              <w:rPr>
                <w:i/>
              </w:rPr>
              <w:t>MPa</w:t>
            </w:r>
          </w:p>
        </w:tc>
      </w:tr>
      <w:tr w:rsidR="002B7E45" w:rsidRPr="00D55629" w:rsidTr="00024BA2">
        <w:trPr>
          <w:jc w:val="center"/>
        </w:trPr>
        <w:tc>
          <w:tcPr>
            <w:tcW w:w="2569" w:type="dxa"/>
          </w:tcPr>
          <w:p w:rsidR="002B7E45" w:rsidRPr="00D55629" w:rsidRDefault="002B7E45" w:rsidP="002B7E45">
            <w:pPr>
              <w:jc w:val="both"/>
            </w:pPr>
            <w:proofErr w:type="spellStart"/>
            <w:r w:rsidRPr="00D55629">
              <w:t>Hole</w:t>
            </w:r>
            <w:proofErr w:type="spellEnd"/>
            <w:r w:rsidRPr="00D55629">
              <w:t xml:space="preserve"> </w:t>
            </w:r>
            <w:proofErr w:type="spellStart"/>
            <w:r w:rsidRPr="00D55629">
              <w:t>diameter</w:t>
            </w:r>
            <w:proofErr w:type="spellEnd"/>
            <w:r w:rsidRPr="00D55629">
              <w:t xml:space="preserve"> </w:t>
            </w:r>
            <m:oMath>
              <m:r>
                <w:rPr>
                  <w:rFonts w:ascii="Cambria Math" w:hAnsi="Cambria Math"/>
                </w:rPr>
                <m:t>(d)</m:t>
              </m:r>
            </m:oMath>
          </w:p>
        </w:tc>
        <w:tc>
          <w:tcPr>
            <w:tcW w:w="1134" w:type="dxa"/>
          </w:tcPr>
          <w:p w:rsidR="002B7E45" w:rsidRPr="00D55629" w:rsidRDefault="002B7E45" w:rsidP="002B7E45">
            <w:pPr>
              <w:jc w:val="center"/>
            </w:pPr>
            <w:r w:rsidRPr="00D55629">
              <w:t>20</w:t>
            </w:r>
            <w:r w:rsidRPr="00D55629">
              <w:rPr>
                <w:i/>
              </w:rPr>
              <w:t>mm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B7E45" w:rsidRPr="00D55629" w:rsidRDefault="002B7E45" w:rsidP="002B7E45">
            <w:proofErr w:type="spellStart"/>
            <w:r w:rsidRPr="00D55629">
              <w:t>Bulk</w:t>
            </w:r>
            <w:proofErr w:type="spellEnd"/>
            <w:r w:rsidRPr="00D55629">
              <w:t xml:space="preserve"> modulus </w:t>
            </w:r>
            <m:oMath>
              <m:r>
                <w:rPr>
                  <w:rFonts w:ascii="Cambria Math" w:hAnsi="Cambria Math"/>
                </w:rPr>
                <m:t>(κ)</m:t>
              </m:r>
            </m:oMath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2B7E45" w:rsidRPr="00D55629" w:rsidRDefault="002B7E45" w:rsidP="002B7E45">
            <w:pPr>
              <w:jc w:val="center"/>
            </w:pPr>
            <w:r w:rsidRPr="00D55629">
              <w:t>1000</w:t>
            </w:r>
            <w:r w:rsidRPr="00D55629">
              <w:rPr>
                <w:i/>
              </w:rPr>
              <w:t>MPa</w:t>
            </w:r>
          </w:p>
        </w:tc>
      </w:tr>
    </w:tbl>
    <w:p w:rsidR="002B7E45" w:rsidRPr="00D55629" w:rsidRDefault="002B7E45" w:rsidP="002B7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454E" w:rsidRPr="00D55629" w:rsidRDefault="002B7E45" w:rsidP="002B7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Some equations from the paper could also be placed in extended abstract. They should be centered, but with </w:t>
      </w:r>
      <w:proofErr w:type="gramStart"/>
      <w:r w:rsidRPr="00D55629">
        <w:rPr>
          <w:rFonts w:ascii="Times New Roman" w:hAnsi="Times New Roman" w:cs="Times New Roman"/>
          <w:sz w:val="20"/>
          <w:szCs w:val="20"/>
          <w:lang w:val="en-US"/>
        </w:rPr>
        <w:t>no any</w:t>
      </w:r>
      <w:proofErr w:type="gramEnd"/>
      <w:r w:rsidRPr="00D55629">
        <w:rPr>
          <w:rFonts w:ascii="Times New Roman" w:hAnsi="Times New Roman" w:cs="Times New Roman"/>
          <w:sz w:val="20"/>
          <w:szCs w:val="20"/>
          <w:lang w:val="en-US"/>
        </w:rPr>
        <w:t xml:space="preserve"> number in parentheses.</w:t>
      </w:r>
    </w:p>
    <w:p w:rsidR="00CE454E" w:rsidRPr="00D55629" w:rsidRDefault="00CE454E" w:rsidP="002B7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2B7E45" w:rsidRPr="00D55629" w:rsidRDefault="002B7E45" w:rsidP="002B7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  <w:lang w:val="en-GB"/>
            </w:rPr>
            <m:t>Δ</m:t>
          </m:r>
          <m:r>
            <w:rPr>
              <w:rFonts w:ascii="Cambria Math" w:hAnsi="Cambria Math" w:cs="Times New Roman"/>
              <w:sz w:val="20"/>
              <w:szCs w:val="20"/>
              <w:lang w:val="en-GB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opt</m:t>
                  </m:r>
                </m:sup>
              </m:sSup>
            </m:e>
          </m:d>
          <m:r>
            <w:rPr>
              <w:rFonts w:ascii="Cambria Math" w:hAnsi="Cambria Math" w:cs="Times New Roman"/>
              <w:sz w:val="20"/>
              <w:szCs w:val="20"/>
              <w:lang w:val="en-GB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en-GB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GB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min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d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∈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Ω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en-GB"/>
                </w:rPr>
                <m:t>Δ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GB"/>
                </w:rPr>
                <m:t>W(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en-GB"/>
                </w:rPr>
                <m:t>d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GB"/>
                </w:rPr>
                <m:t>)</m:t>
              </m:r>
            </m:e>
          </m:func>
          <m:r>
            <w:rPr>
              <w:rFonts w:ascii="Cambria Math" w:hAnsi="Cambria Math" w:cs="Times New Roman"/>
              <w:sz w:val="20"/>
              <w:szCs w:val="20"/>
              <w:lang w:val="en-GB"/>
            </w:rPr>
            <m:t>.</m:t>
          </m:r>
        </m:oMath>
      </m:oMathPara>
    </w:p>
    <w:p w:rsidR="00CE454E" w:rsidRPr="00D55629" w:rsidRDefault="00CE454E" w:rsidP="00D7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3014D4" w:rsidRDefault="00A12C00" w:rsidP="00A12C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sz w:val="20"/>
          <w:szCs w:val="20"/>
          <w:lang w:val="en-GB"/>
        </w:rPr>
        <w:t xml:space="preserve">The extended abstract must </w:t>
      </w:r>
      <w:r w:rsidRPr="00D55629">
        <w:rPr>
          <w:rFonts w:ascii="Times New Roman" w:hAnsi="Times New Roman" w:cs="Times New Roman"/>
          <w:sz w:val="20"/>
          <w:szCs w:val="20"/>
          <w:lang w:val="en-US"/>
        </w:rPr>
        <w:t xml:space="preserve">be sent, as DOC or DOCX file, to the conference organizer by E-mail: iscame@eng.unideb.hu </w:t>
      </w:r>
      <w:r w:rsidRPr="00D55629">
        <w:rPr>
          <w:rFonts w:ascii="Times New Roman" w:hAnsi="Times New Roman" w:cs="Times New Roman"/>
          <w:b/>
          <w:sz w:val="20"/>
          <w:szCs w:val="20"/>
          <w:lang w:val="en-US"/>
        </w:rPr>
        <w:t xml:space="preserve">until </w:t>
      </w:r>
      <w:r w:rsidR="00D55629">
        <w:rPr>
          <w:rFonts w:ascii="Times New Roman" w:hAnsi="Times New Roman" w:cs="Times New Roman"/>
          <w:b/>
          <w:sz w:val="20"/>
          <w:szCs w:val="20"/>
          <w:lang w:val="en-US"/>
        </w:rPr>
        <w:t>Mond</w:t>
      </w:r>
      <w:r w:rsidRPr="00D55629">
        <w:rPr>
          <w:rFonts w:ascii="Times New Roman" w:hAnsi="Times New Roman" w:cs="Times New Roman"/>
          <w:b/>
          <w:sz w:val="20"/>
          <w:szCs w:val="20"/>
          <w:lang w:val="en-US"/>
        </w:rPr>
        <w:t xml:space="preserve">ay </w:t>
      </w:r>
      <w:r w:rsidR="004D2561">
        <w:rPr>
          <w:rFonts w:ascii="Times New Roman" w:hAnsi="Times New Roman" w:cs="Times New Roman"/>
          <w:b/>
          <w:sz w:val="20"/>
          <w:szCs w:val="20"/>
          <w:lang w:val="en-US"/>
        </w:rPr>
        <w:t>28th</w:t>
      </w:r>
      <w:r w:rsidRPr="00D5562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of </w:t>
      </w:r>
      <w:r w:rsidR="004D2561">
        <w:rPr>
          <w:rFonts w:ascii="Times New Roman" w:hAnsi="Times New Roman" w:cs="Times New Roman"/>
          <w:b/>
          <w:sz w:val="20"/>
          <w:szCs w:val="20"/>
          <w:lang w:val="en-US"/>
        </w:rPr>
        <w:t>October</w:t>
      </w:r>
      <w:bookmarkStart w:id="0" w:name="_GoBack"/>
      <w:bookmarkEnd w:id="0"/>
      <w:r w:rsidRPr="00D5562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201</w:t>
      </w:r>
      <w:r w:rsidR="004E2388" w:rsidRPr="00D55629">
        <w:rPr>
          <w:rFonts w:ascii="Times New Roman" w:hAnsi="Times New Roman" w:cs="Times New Roman"/>
          <w:b/>
          <w:sz w:val="20"/>
          <w:szCs w:val="20"/>
          <w:lang w:val="en-US"/>
        </w:rPr>
        <w:t>9</w:t>
      </w:r>
      <w:r w:rsidRPr="00D55629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3014D4" w:rsidRPr="00D55629" w:rsidRDefault="003014D4" w:rsidP="00A12C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212CF2" w:rsidRDefault="00A12C00" w:rsidP="00A12C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0"/>
          <w:szCs w:val="20"/>
          <w:lang w:val="en-GB"/>
        </w:rPr>
      </w:pPr>
      <w:r w:rsidRPr="00212CF2">
        <w:rPr>
          <w:rFonts w:ascii="Times New Roman" w:hAnsi="Times New Roman" w:cs="Times New Roman"/>
          <w:b/>
          <w:caps/>
          <w:sz w:val="20"/>
          <w:szCs w:val="20"/>
          <w:lang w:val="en-GB"/>
        </w:rPr>
        <w:t>Acknowledgments</w:t>
      </w:r>
    </w:p>
    <w:p w:rsidR="003014D4" w:rsidRPr="00212CF2" w:rsidRDefault="003014D4" w:rsidP="00A12C00">
      <w:pPr>
        <w:spacing w:after="0" w:line="240" w:lineRule="auto"/>
        <w:jc w:val="both"/>
        <w:rPr>
          <w:rFonts w:ascii="Times New Roman" w:hAnsi="Times New Roman" w:cs="Times New Roman"/>
          <w:caps/>
          <w:sz w:val="20"/>
          <w:szCs w:val="20"/>
          <w:lang w:val="en-GB"/>
        </w:rPr>
      </w:pPr>
    </w:p>
    <w:p w:rsidR="003014D4" w:rsidRPr="00D55629" w:rsidRDefault="00A12C00" w:rsidP="00D7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55629">
        <w:rPr>
          <w:rFonts w:ascii="Times New Roman" w:hAnsi="Times New Roman" w:cs="Times New Roman"/>
          <w:sz w:val="20"/>
          <w:szCs w:val="20"/>
          <w:lang w:val="en-GB"/>
        </w:rPr>
        <w:t>The described work was carried out as part of a project supported by the National Research, Development and Innovation Office – NKFIH, K123456.</w:t>
      </w:r>
    </w:p>
    <w:p w:rsidR="00CE454E" w:rsidRPr="00D55629" w:rsidRDefault="00CE454E" w:rsidP="00D7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CE454E" w:rsidRDefault="00D55629" w:rsidP="00D7085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0"/>
          <w:szCs w:val="20"/>
          <w:lang w:val="en-GB"/>
        </w:rPr>
      </w:pPr>
      <w:r w:rsidRPr="00212CF2">
        <w:rPr>
          <w:rFonts w:ascii="Times New Roman" w:hAnsi="Times New Roman" w:cs="Times New Roman"/>
          <w:b/>
          <w:bCs/>
          <w:caps/>
          <w:sz w:val="20"/>
          <w:szCs w:val="20"/>
          <w:lang w:val="en-GB"/>
        </w:rPr>
        <w:t>References</w:t>
      </w:r>
      <w:r w:rsidR="00BB1D55">
        <w:rPr>
          <w:rFonts w:ascii="Times New Roman" w:hAnsi="Times New Roman" w:cs="Times New Roman"/>
          <w:b/>
          <w:bCs/>
          <w:caps/>
          <w:sz w:val="20"/>
          <w:szCs w:val="20"/>
          <w:lang w:val="en-GB"/>
        </w:rPr>
        <w:t xml:space="preserve"> </w:t>
      </w:r>
    </w:p>
    <w:p w:rsidR="003014D4" w:rsidRPr="003014D4" w:rsidRDefault="003014D4" w:rsidP="00D7085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0"/>
          <w:szCs w:val="20"/>
          <w:lang w:val="en-GB"/>
        </w:rPr>
      </w:pPr>
    </w:p>
    <w:p w:rsidR="00212CF2" w:rsidRPr="00212CF2" w:rsidRDefault="003014D4" w:rsidP="00212CF2">
      <w:pPr>
        <w:pStyle w:val="Listaszerbekezds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Drebin</w:t>
      </w:r>
      <w:proofErr w:type="spellEnd"/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GB"/>
        </w:rPr>
        <w:t>F</w:t>
      </w:r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 xml:space="preserve">., </w:t>
      </w:r>
      <w:r>
        <w:rPr>
          <w:rFonts w:ascii="Times New Roman" w:hAnsi="Times New Roman" w:cs="Times New Roman"/>
          <w:sz w:val="20"/>
          <w:szCs w:val="20"/>
          <w:lang w:val="en-GB"/>
        </w:rPr>
        <w:t>Black</w:t>
      </w:r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 xml:space="preserve">(2014), </w:t>
      </w:r>
      <w:r w:rsidR="00212CF2" w:rsidRPr="003014D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Optimization of the Shape of </w:t>
      </w:r>
      <w:proofErr w:type="spellStart"/>
      <w:r w:rsidR="00212CF2" w:rsidRPr="003014D4">
        <w:rPr>
          <w:rFonts w:ascii="Times New Roman" w:hAnsi="Times New Roman" w:cs="Times New Roman"/>
          <w:i/>
          <w:iCs/>
          <w:sz w:val="20"/>
          <w:szCs w:val="20"/>
          <w:lang w:val="en-GB"/>
        </w:rPr>
        <w:t>Axi</w:t>
      </w:r>
      <w:proofErr w:type="spellEnd"/>
      <w:r w:rsidRPr="003014D4">
        <w:rPr>
          <w:rFonts w:ascii="Times New Roman" w:hAnsi="Times New Roman" w:cs="Times New Roman"/>
          <w:i/>
          <w:iCs/>
          <w:sz w:val="20"/>
          <w:szCs w:val="20"/>
          <w:lang w:val="en-GB"/>
        </w:rPr>
        <w:t>-s</w:t>
      </w:r>
      <w:r w:rsidR="00212CF2" w:rsidRPr="003014D4">
        <w:rPr>
          <w:rFonts w:ascii="Times New Roman" w:hAnsi="Times New Roman" w:cs="Times New Roman"/>
          <w:i/>
          <w:iCs/>
          <w:sz w:val="20"/>
          <w:szCs w:val="20"/>
          <w:lang w:val="en-GB"/>
        </w:rPr>
        <w:t>ymmetric Rubber Bumpers</w:t>
      </w:r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>Strojniski</w:t>
      </w:r>
      <w:proofErr w:type="spellEnd"/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>vestnik</w:t>
      </w:r>
      <w:proofErr w:type="spellEnd"/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>-Journal of Mechanical Engineering, 60(1), 61-71.</w:t>
      </w:r>
    </w:p>
    <w:p w:rsidR="00CE454E" w:rsidRPr="00212CF2" w:rsidRDefault="003014D4" w:rsidP="00212CF2">
      <w:pPr>
        <w:pStyle w:val="Listaszerbekezds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Hood</w:t>
      </w:r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GB"/>
        </w:rPr>
        <w:t>R</w:t>
      </w:r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 xml:space="preserve">.,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Little, J. </w:t>
      </w:r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 xml:space="preserve">(2013), </w:t>
      </w:r>
      <w:r w:rsidR="00212CF2" w:rsidRPr="003014D4">
        <w:rPr>
          <w:rFonts w:ascii="Times New Roman" w:hAnsi="Times New Roman" w:cs="Times New Roman"/>
          <w:i/>
          <w:iCs/>
          <w:sz w:val="20"/>
          <w:szCs w:val="20"/>
          <w:lang w:val="en-GB"/>
        </w:rPr>
        <w:t>Shape Design of Rubber Part Using FEM</w:t>
      </w:r>
      <w:r w:rsidR="00212CF2" w:rsidRPr="00212CF2">
        <w:rPr>
          <w:rFonts w:ascii="Times New Roman" w:hAnsi="Times New Roman" w:cs="Times New Roman"/>
          <w:sz w:val="20"/>
          <w:szCs w:val="20"/>
          <w:lang w:val="en-GB"/>
        </w:rPr>
        <w:t>. International Review of Applied Sciences and Engineering, 4(2), 85-94.</w:t>
      </w:r>
    </w:p>
    <w:p w:rsidR="00CE454E" w:rsidRPr="00212CF2" w:rsidRDefault="00212CF2" w:rsidP="00212CF2">
      <w:pPr>
        <w:pStyle w:val="Listaszerbekezds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12CF2">
        <w:rPr>
          <w:rFonts w:ascii="Times New Roman" w:hAnsi="Times New Roman" w:cs="Times New Roman"/>
          <w:sz w:val="20"/>
          <w:szCs w:val="20"/>
          <w:lang w:val="en-GB"/>
        </w:rPr>
        <w:t xml:space="preserve">Lee, J.S. and Kim, S.C. (2007), </w:t>
      </w:r>
      <w:r w:rsidRPr="003014D4">
        <w:rPr>
          <w:rFonts w:ascii="Times New Roman" w:hAnsi="Times New Roman" w:cs="Times New Roman"/>
          <w:i/>
          <w:iCs/>
          <w:sz w:val="20"/>
          <w:szCs w:val="20"/>
          <w:lang w:val="en-GB"/>
        </w:rPr>
        <w:t>Optimal Design of Engine Mount Rubber Considering Stiffness and Fatigue Strength</w:t>
      </w:r>
      <w:r w:rsidRPr="00212CF2">
        <w:rPr>
          <w:rFonts w:ascii="Times New Roman" w:hAnsi="Times New Roman" w:cs="Times New Roman"/>
          <w:sz w:val="20"/>
          <w:szCs w:val="20"/>
          <w:lang w:val="en-GB"/>
        </w:rPr>
        <w:t>. Journal of Automobile Engineering, 221(7), 823-835.</w:t>
      </w:r>
    </w:p>
    <w:p w:rsidR="00212CF2" w:rsidRPr="00212CF2" w:rsidRDefault="00212CF2" w:rsidP="00212CF2">
      <w:pPr>
        <w:pStyle w:val="Listaszerbekezds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212CF2">
        <w:rPr>
          <w:rFonts w:ascii="Times New Roman" w:hAnsi="Times New Roman" w:cs="Times New Roman"/>
          <w:sz w:val="20"/>
          <w:szCs w:val="20"/>
          <w:lang w:val="en-GB"/>
        </w:rPr>
        <w:t>Bonet</w:t>
      </w:r>
      <w:proofErr w:type="spellEnd"/>
      <w:r w:rsidRPr="00212CF2">
        <w:rPr>
          <w:rFonts w:ascii="Times New Roman" w:hAnsi="Times New Roman" w:cs="Times New Roman"/>
          <w:sz w:val="20"/>
          <w:szCs w:val="20"/>
          <w:lang w:val="en-GB"/>
        </w:rPr>
        <w:t xml:space="preserve">, J. and Wood, R.D. (1997), </w:t>
      </w:r>
      <w:r w:rsidRPr="003014D4">
        <w:rPr>
          <w:rFonts w:ascii="Times New Roman" w:hAnsi="Times New Roman" w:cs="Times New Roman"/>
          <w:i/>
          <w:iCs/>
          <w:sz w:val="20"/>
          <w:szCs w:val="20"/>
          <w:lang w:val="en-GB"/>
        </w:rPr>
        <w:t>Nonlinear Continuum Mechanics for Finite Element Analysis</w:t>
      </w:r>
      <w:r w:rsidRPr="00212CF2">
        <w:rPr>
          <w:rFonts w:ascii="Times New Roman" w:hAnsi="Times New Roman" w:cs="Times New Roman"/>
          <w:sz w:val="20"/>
          <w:szCs w:val="20"/>
          <w:lang w:val="en-GB"/>
        </w:rPr>
        <w:t>. Cambridge University Press</w:t>
      </w:r>
      <w:r w:rsidR="00902F8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902F8B" w:rsidRPr="00902F8B">
        <w:rPr>
          <w:rFonts w:ascii="Times New Roman" w:hAnsi="Times New Roman" w:cs="Times New Roman"/>
          <w:sz w:val="20"/>
          <w:szCs w:val="20"/>
          <w:lang w:val="en-GB"/>
        </w:rPr>
        <w:t>UK</w:t>
      </w:r>
      <w:r w:rsidR="00902F8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212CF2" w:rsidRPr="00212CF2" w:rsidRDefault="00212CF2" w:rsidP="00212C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D7085D" w:rsidRPr="00D55629" w:rsidRDefault="00D7085D" w:rsidP="00D7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D7085D" w:rsidRPr="00D55629" w:rsidRDefault="00D7085D" w:rsidP="00D7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sectPr w:rsidR="00D7085D" w:rsidRPr="00D55629" w:rsidSect="002B7E45">
      <w:headerReference w:type="default" r:id="rId8"/>
      <w:footerReference w:type="default" r:id="rId9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5E0" w:rsidRDefault="001245E0" w:rsidP="00D7085D">
      <w:pPr>
        <w:spacing w:after="0" w:line="240" w:lineRule="auto"/>
      </w:pPr>
      <w:r>
        <w:separator/>
      </w:r>
    </w:p>
  </w:endnote>
  <w:endnote w:type="continuationSeparator" w:id="0">
    <w:p w:rsidR="001245E0" w:rsidRDefault="001245E0" w:rsidP="00D7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051411"/>
      <w:docPartObj>
        <w:docPartGallery w:val="Page Numbers (Bottom of Page)"/>
        <w:docPartUnique/>
      </w:docPartObj>
    </w:sdtPr>
    <w:sdtEndPr>
      <w:rPr>
        <w:rFonts w:ascii="Verdana" w:hAnsi="Verdana"/>
        <w:b/>
        <w:color w:val="004735"/>
      </w:rPr>
    </w:sdtEndPr>
    <w:sdtContent>
      <w:p w:rsidR="00CE454E" w:rsidRDefault="00CE454E" w:rsidP="00CE454E">
        <w:pPr>
          <w:pStyle w:val="llb"/>
          <w:jc w:val="center"/>
        </w:pPr>
        <w:r w:rsidRPr="00CE454E">
          <w:rPr>
            <w:color w:val="004735"/>
          </w:rPr>
          <w:t>_______________________________________________________________________________________</w:t>
        </w:r>
      </w:p>
      <w:p w:rsidR="00CE454E" w:rsidRPr="00CE454E" w:rsidRDefault="00CE454E" w:rsidP="00CE454E">
        <w:pPr>
          <w:pStyle w:val="llb"/>
          <w:jc w:val="center"/>
          <w:rPr>
            <w:rFonts w:ascii="Verdana" w:hAnsi="Verdana"/>
            <w:b/>
            <w:color w:val="004735"/>
          </w:rPr>
        </w:pPr>
        <w:r w:rsidRPr="00CE454E">
          <w:rPr>
            <w:rFonts w:ascii="Verdana" w:hAnsi="Verdana"/>
            <w:b/>
            <w:color w:val="004735"/>
          </w:rPr>
          <w:fldChar w:fldCharType="begin"/>
        </w:r>
        <w:r w:rsidRPr="00CE454E">
          <w:rPr>
            <w:rFonts w:ascii="Verdana" w:hAnsi="Verdana"/>
            <w:b/>
            <w:color w:val="004735"/>
          </w:rPr>
          <w:instrText xml:space="preserve"> PAGE   \* MERGEFORMAT </w:instrText>
        </w:r>
        <w:r w:rsidRPr="00CE454E">
          <w:rPr>
            <w:rFonts w:ascii="Verdana" w:hAnsi="Verdana"/>
            <w:b/>
            <w:color w:val="004735"/>
          </w:rPr>
          <w:fldChar w:fldCharType="separate"/>
        </w:r>
        <w:r w:rsidR="00A12C00">
          <w:rPr>
            <w:rFonts w:ascii="Verdana" w:hAnsi="Verdana"/>
            <w:b/>
            <w:noProof/>
            <w:color w:val="004735"/>
          </w:rPr>
          <w:t>2</w:t>
        </w:r>
        <w:r w:rsidRPr="00CE454E">
          <w:rPr>
            <w:rFonts w:ascii="Verdana" w:hAnsi="Verdana"/>
            <w:b/>
            <w:color w:val="00473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5E0" w:rsidRDefault="001245E0" w:rsidP="00D7085D">
      <w:pPr>
        <w:spacing w:after="0" w:line="240" w:lineRule="auto"/>
      </w:pPr>
      <w:r>
        <w:separator/>
      </w:r>
    </w:p>
  </w:footnote>
  <w:footnote w:type="continuationSeparator" w:id="0">
    <w:p w:rsidR="001245E0" w:rsidRDefault="001245E0" w:rsidP="00D7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5D" w:rsidRPr="00D55629" w:rsidRDefault="00D7085D" w:rsidP="00D7085D">
    <w:pPr>
      <w:pStyle w:val="lfej"/>
      <w:jc w:val="right"/>
      <w:rPr>
        <w:rFonts w:ascii="Verdana" w:hAnsi="Verdana" w:cs="Times New Roman"/>
        <w:b/>
        <w:color w:val="004735"/>
      </w:rPr>
    </w:pPr>
    <w:r w:rsidRPr="00D55629">
      <w:rPr>
        <w:rFonts w:ascii="Verdana" w:hAnsi="Verdana" w:cs="Times New Roman"/>
        <w:b/>
        <w:noProof/>
        <w:color w:val="004735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-40005</wp:posOffset>
          </wp:positionV>
          <wp:extent cx="2043430" cy="701675"/>
          <wp:effectExtent l="1905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5629">
      <w:rPr>
        <w:rFonts w:ascii="Verdana" w:hAnsi="Verdana" w:cs="Times New Roman"/>
        <w:b/>
        <w:color w:val="004735"/>
      </w:rPr>
      <w:t>INTERNATIONAL SCIENTIFIC CONFERENCE ON</w:t>
    </w:r>
  </w:p>
  <w:p w:rsidR="00D7085D" w:rsidRPr="00D55629" w:rsidRDefault="00D7085D" w:rsidP="00D7085D">
    <w:pPr>
      <w:pStyle w:val="lfej"/>
      <w:jc w:val="right"/>
      <w:rPr>
        <w:rFonts w:ascii="Verdana" w:hAnsi="Verdana" w:cs="Times New Roman"/>
        <w:b/>
        <w:color w:val="004735"/>
      </w:rPr>
    </w:pPr>
    <w:r w:rsidRPr="00D55629">
      <w:rPr>
        <w:rFonts w:ascii="Verdana" w:hAnsi="Verdana" w:cs="Times New Roman"/>
        <w:b/>
        <w:color w:val="004735"/>
      </w:rPr>
      <w:t>ADVANCES IN MECHANICAL ENGINEERING</w:t>
    </w:r>
  </w:p>
  <w:p w:rsidR="00D7085D" w:rsidRPr="00D55629" w:rsidRDefault="00856A9B" w:rsidP="00D7085D">
    <w:pPr>
      <w:pStyle w:val="lfej"/>
      <w:jc w:val="right"/>
      <w:rPr>
        <w:rFonts w:ascii="Verdana" w:hAnsi="Verdana" w:cs="Times New Roman"/>
        <w:color w:val="004735"/>
      </w:rPr>
    </w:pPr>
    <w:r>
      <w:rPr>
        <w:rFonts w:ascii="Verdana" w:hAnsi="Verdana" w:cs="Times New Roman"/>
        <w:color w:val="004735"/>
      </w:rPr>
      <w:t xml:space="preserve">7-9 </w:t>
    </w:r>
    <w:proofErr w:type="gramStart"/>
    <w:r>
      <w:rPr>
        <w:rFonts w:ascii="Verdana" w:hAnsi="Verdana" w:cs="Times New Roman"/>
        <w:color w:val="004735"/>
      </w:rPr>
      <w:t>November</w:t>
    </w:r>
    <w:proofErr w:type="gramEnd"/>
    <w:r w:rsidR="00D7085D" w:rsidRPr="00D55629">
      <w:rPr>
        <w:rFonts w:ascii="Verdana" w:hAnsi="Verdana" w:cs="Times New Roman"/>
        <w:color w:val="004735"/>
      </w:rPr>
      <w:t xml:space="preserve"> 201</w:t>
    </w:r>
    <w:r w:rsidR="004E2388" w:rsidRPr="00D55629">
      <w:rPr>
        <w:rFonts w:ascii="Verdana" w:hAnsi="Verdana" w:cs="Times New Roman"/>
        <w:color w:val="004735"/>
      </w:rPr>
      <w:t>9</w:t>
    </w:r>
    <w:r w:rsidR="00D7085D" w:rsidRPr="00D55629">
      <w:rPr>
        <w:rFonts w:ascii="Verdana" w:hAnsi="Verdana" w:cs="Times New Roman"/>
        <w:color w:val="004735"/>
      </w:rPr>
      <w:t>, Debrecen, Hungary</w:t>
    </w:r>
  </w:p>
  <w:p w:rsidR="00D7085D" w:rsidRPr="00D55629" w:rsidRDefault="00D55629" w:rsidP="00D7085D">
    <w:pPr>
      <w:pStyle w:val="lfej"/>
      <w:jc w:val="center"/>
      <w:rPr>
        <w:rFonts w:ascii="Verdana" w:hAnsi="Verdana" w:cs="Times New Roman"/>
        <w:color w:val="004735"/>
        <w:sz w:val="16"/>
        <w:szCs w:val="16"/>
      </w:rPr>
    </w:pPr>
    <w:r w:rsidRPr="00D55629">
      <w:rPr>
        <w:rFonts w:ascii="Verdana" w:hAnsi="Verdana" w:cs="Times New Roman"/>
        <w:color w:val="004735"/>
        <w:sz w:val="16"/>
        <w:szCs w:val="16"/>
      </w:rPr>
      <w:t>____________________________________________________________________</w:t>
    </w:r>
    <w:r>
      <w:rPr>
        <w:rFonts w:ascii="Verdana" w:hAnsi="Verdana" w:cs="Times New Roman"/>
        <w:color w:val="004735"/>
        <w:sz w:val="16"/>
        <w:szCs w:val="16"/>
      </w:rPr>
      <w:t>____________________</w:t>
    </w:r>
    <w:r w:rsidRPr="00D55629">
      <w:rPr>
        <w:rFonts w:ascii="Verdana" w:hAnsi="Verdana" w:cs="Times New Roman"/>
        <w:color w:val="004735"/>
        <w:sz w:val="16"/>
        <w:szCs w:val="16"/>
      </w:rPr>
      <w:t>______</w:t>
    </w:r>
  </w:p>
  <w:p w:rsidR="00D7085D" w:rsidRPr="00D7085D" w:rsidRDefault="00D7085D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1055B"/>
    <w:multiLevelType w:val="hybridMultilevel"/>
    <w:tmpl w:val="3C46B45E"/>
    <w:lvl w:ilvl="0" w:tplc="DE863D9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5D"/>
    <w:rsid w:val="001245E0"/>
    <w:rsid w:val="00212CF2"/>
    <w:rsid w:val="002B7E45"/>
    <w:rsid w:val="003014D4"/>
    <w:rsid w:val="004D2561"/>
    <w:rsid w:val="004E2388"/>
    <w:rsid w:val="00715F35"/>
    <w:rsid w:val="007C1637"/>
    <w:rsid w:val="00856A9B"/>
    <w:rsid w:val="00902F8B"/>
    <w:rsid w:val="009E6D49"/>
    <w:rsid w:val="00A12C00"/>
    <w:rsid w:val="00A54D78"/>
    <w:rsid w:val="00BB1D55"/>
    <w:rsid w:val="00CE454E"/>
    <w:rsid w:val="00D55629"/>
    <w:rsid w:val="00D7085D"/>
    <w:rsid w:val="00E9686D"/>
    <w:rsid w:val="00F776EF"/>
    <w:rsid w:val="00FE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915AD0"/>
  <w15:docId w15:val="{A5E7628A-75EC-4FAD-BFF3-D0D01B0A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E6D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0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085D"/>
  </w:style>
  <w:style w:type="paragraph" w:styleId="llb">
    <w:name w:val="footer"/>
    <w:basedOn w:val="Norml"/>
    <w:link w:val="llbChar"/>
    <w:uiPriority w:val="99"/>
    <w:unhideWhenUsed/>
    <w:rsid w:val="00D70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085D"/>
  </w:style>
  <w:style w:type="paragraph" w:styleId="Buborkszveg">
    <w:name w:val="Balloon Text"/>
    <w:basedOn w:val="Norml"/>
    <w:link w:val="BuborkszvegChar"/>
    <w:uiPriority w:val="99"/>
    <w:semiHidden/>
    <w:unhideWhenUsed/>
    <w:rsid w:val="00D70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085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B7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12C00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12C00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212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Júlia Lilla Csonkáné Dóró</cp:lastModifiedBy>
  <cp:revision>2</cp:revision>
  <dcterms:created xsi:type="dcterms:W3CDTF">2019-09-17T12:03:00Z</dcterms:created>
  <dcterms:modified xsi:type="dcterms:W3CDTF">2019-09-17T12:03:00Z</dcterms:modified>
</cp:coreProperties>
</file>