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E0182" w14:textId="77777777" w:rsidR="005152C2" w:rsidRPr="00B62E04" w:rsidRDefault="005152C2" w:rsidP="005152C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62E04">
        <w:rPr>
          <w:rFonts w:eastAsia="Calibri"/>
          <w:b/>
          <w:bCs/>
          <w:sz w:val="28"/>
          <w:szCs w:val="28"/>
          <w:lang w:eastAsia="en-US"/>
        </w:rPr>
        <w:t xml:space="preserve">A </w:t>
      </w:r>
      <w:proofErr w:type="spellStart"/>
      <w:r w:rsidRPr="00B62E04">
        <w:rPr>
          <w:rFonts w:eastAsia="Calibri"/>
          <w:b/>
          <w:bCs/>
          <w:sz w:val="28"/>
          <w:szCs w:val="28"/>
          <w:lang w:eastAsia="en-US"/>
        </w:rPr>
        <w:t>prokloráz</w:t>
      </w:r>
      <w:proofErr w:type="spellEnd"/>
      <w:r w:rsidRPr="00B62E04">
        <w:rPr>
          <w:rFonts w:eastAsia="Calibri"/>
          <w:b/>
          <w:bCs/>
          <w:sz w:val="28"/>
          <w:szCs w:val="28"/>
          <w:lang w:eastAsia="en-US"/>
        </w:rPr>
        <w:t xml:space="preserve"> hatóanyag hatékonysága </w:t>
      </w:r>
      <w:r w:rsidRPr="00B62E04">
        <w:rPr>
          <w:rFonts w:eastAsia="Calibri"/>
          <w:b/>
          <w:bCs/>
          <w:i/>
          <w:iCs/>
          <w:sz w:val="28"/>
          <w:szCs w:val="28"/>
          <w:lang w:eastAsia="en-US"/>
        </w:rPr>
        <w:t>in vivo</w:t>
      </w:r>
      <w:r w:rsidRPr="00B62E04">
        <w:rPr>
          <w:rFonts w:eastAsia="Calibri"/>
          <w:b/>
          <w:bCs/>
          <w:sz w:val="28"/>
          <w:szCs w:val="28"/>
          <w:lang w:eastAsia="en-US"/>
        </w:rPr>
        <w:t xml:space="preserve"> körülmények között a </w:t>
      </w:r>
      <w:r w:rsidRPr="00B62E04">
        <w:rPr>
          <w:rFonts w:eastAsia="Calibri"/>
          <w:b/>
          <w:bCs/>
          <w:i/>
          <w:iCs/>
          <w:sz w:val="28"/>
          <w:szCs w:val="28"/>
          <w:lang w:eastAsia="en-US"/>
        </w:rPr>
        <w:t>Macrophomina phaseolina</w:t>
      </w:r>
      <w:r w:rsidRPr="00B62E04">
        <w:rPr>
          <w:rFonts w:eastAsia="Calibri"/>
          <w:b/>
          <w:bCs/>
          <w:sz w:val="28"/>
          <w:szCs w:val="28"/>
          <w:lang w:eastAsia="en-US"/>
        </w:rPr>
        <w:t xml:space="preserve"> növénykórokozó gombára napraforgó állományban</w:t>
      </w:r>
    </w:p>
    <w:p w14:paraId="7A7CBFB3" w14:textId="77777777" w:rsidR="005152C2" w:rsidRPr="00B62E04" w:rsidRDefault="005152C2" w:rsidP="005152C2">
      <w:pPr>
        <w:jc w:val="center"/>
        <w:rPr>
          <w:rFonts w:eastAsia="Calibri"/>
          <w:i/>
          <w:iCs/>
          <w:szCs w:val="24"/>
          <w:lang w:eastAsia="en-US"/>
        </w:rPr>
      </w:pPr>
    </w:p>
    <w:p w14:paraId="1ED33050" w14:textId="41C74109" w:rsidR="005152C2" w:rsidRPr="00B62E04" w:rsidRDefault="005152C2" w:rsidP="005152C2">
      <w:pPr>
        <w:jc w:val="center"/>
        <w:rPr>
          <w:rFonts w:eastAsia="Calibri"/>
          <w:i/>
          <w:iCs/>
          <w:szCs w:val="24"/>
          <w:lang w:eastAsia="en-US"/>
        </w:rPr>
      </w:pPr>
      <w:r w:rsidRPr="00B62E04">
        <w:rPr>
          <w:rFonts w:eastAsia="Calibri"/>
          <w:i/>
          <w:iCs/>
          <w:szCs w:val="24"/>
          <w:lang w:eastAsia="en-US"/>
        </w:rPr>
        <w:t>Csüllög Kitti</w:t>
      </w:r>
      <w:r w:rsidRPr="00B62E04">
        <w:rPr>
          <w:rFonts w:eastAsia="Calibri"/>
          <w:i/>
          <w:iCs/>
          <w:szCs w:val="24"/>
          <w:vertAlign w:val="superscript"/>
          <w:lang w:eastAsia="en-US"/>
        </w:rPr>
        <w:t>1</w:t>
      </w:r>
      <w:r w:rsidR="00433017" w:rsidRPr="008A4209">
        <w:rPr>
          <w:rFonts w:eastAsia="Calibri"/>
          <w:i/>
          <w:iCs/>
          <w:szCs w:val="24"/>
          <w:lang w:eastAsia="en-US"/>
        </w:rPr>
        <w:t xml:space="preserve"> </w:t>
      </w:r>
      <w:r w:rsidR="00433017">
        <w:rPr>
          <w:rFonts w:eastAsia="Calibri"/>
          <w:i/>
          <w:iCs/>
          <w:szCs w:val="24"/>
          <w:lang w:eastAsia="en-US"/>
        </w:rPr>
        <w:t xml:space="preserve">– </w:t>
      </w:r>
      <w:r w:rsidRPr="00B62E04">
        <w:rPr>
          <w:rFonts w:eastAsia="Calibri"/>
          <w:i/>
          <w:iCs/>
          <w:szCs w:val="24"/>
          <w:lang w:eastAsia="en-US"/>
        </w:rPr>
        <w:t>Seres Emese</w:t>
      </w:r>
      <w:r w:rsidRPr="00B62E04">
        <w:rPr>
          <w:rFonts w:eastAsia="Calibri"/>
          <w:i/>
          <w:iCs/>
          <w:szCs w:val="24"/>
          <w:vertAlign w:val="superscript"/>
          <w:lang w:eastAsia="en-US"/>
        </w:rPr>
        <w:t>2</w:t>
      </w:r>
      <w:r w:rsidR="00433017">
        <w:rPr>
          <w:rFonts w:eastAsia="Calibri"/>
          <w:i/>
          <w:iCs/>
          <w:szCs w:val="24"/>
          <w:lang w:eastAsia="en-US"/>
        </w:rPr>
        <w:t xml:space="preserve"> –</w:t>
      </w:r>
      <w:r w:rsidRPr="00B62E04">
        <w:rPr>
          <w:rFonts w:eastAsia="Calibri"/>
          <w:i/>
          <w:iCs/>
          <w:szCs w:val="24"/>
          <w:lang w:eastAsia="en-US"/>
        </w:rPr>
        <w:t xml:space="preserve"> Tarcali Gábor</w:t>
      </w:r>
      <w:r w:rsidRPr="00B62E04">
        <w:rPr>
          <w:rFonts w:eastAsia="Calibri"/>
          <w:i/>
          <w:iCs/>
          <w:szCs w:val="24"/>
          <w:vertAlign w:val="superscript"/>
          <w:lang w:eastAsia="en-US"/>
        </w:rPr>
        <w:t>1</w:t>
      </w:r>
      <w:r w:rsidR="00433017">
        <w:rPr>
          <w:rFonts w:eastAsia="Calibri"/>
          <w:i/>
          <w:iCs/>
          <w:szCs w:val="24"/>
          <w:lang w:eastAsia="en-US"/>
        </w:rPr>
        <w:t xml:space="preserve"> –</w:t>
      </w:r>
      <w:r w:rsidRPr="00B62E04">
        <w:rPr>
          <w:rFonts w:eastAsia="Calibri"/>
          <w:i/>
          <w:iCs/>
          <w:szCs w:val="24"/>
          <w:lang w:eastAsia="en-US"/>
        </w:rPr>
        <w:t xml:space="preserve"> Tóth Gyula</w:t>
      </w:r>
      <w:r w:rsidRPr="00B62E04">
        <w:rPr>
          <w:rFonts w:eastAsia="Calibri"/>
          <w:i/>
          <w:iCs/>
          <w:szCs w:val="24"/>
          <w:vertAlign w:val="superscript"/>
          <w:lang w:eastAsia="en-US"/>
        </w:rPr>
        <w:t>1</w:t>
      </w:r>
      <w:r w:rsidR="00433017">
        <w:rPr>
          <w:rFonts w:eastAsia="Calibri"/>
          <w:i/>
          <w:iCs/>
          <w:szCs w:val="24"/>
          <w:lang w:eastAsia="en-US"/>
        </w:rPr>
        <w:t xml:space="preserve"> –</w:t>
      </w:r>
      <w:r w:rsidRPr="00B62E04">
        <w:rPr>
          <w:rFonts w:eastAsia="Calibri"/>
          <w:i/>
          <w:iCs/>
          <w:szCs w:val="24"/>
          <w:lang w:eastAsia="en-US"/>
        </w:rPr>
        <w:t xml:space="preserve"> Csótó András</w:t>
      </w:r>
      <w:r w:rsidRPr="00B62E04">
        <w:rPr>
          <w:rFonts w:eastAsia="Calibri"/>
          <w:i/>
          <w:iCs/>
          <w:szCs w:val="24"/>
          <w:vertAlign w:val="superscript"/>
          <w:lang w:eastAsia="en-US"/>
        </w:rPr>
        <w:t>1</w:t>
      </w:r>
    </w:p>
    <w:p w14:paraId="26F13153" w14:textId="77777777" w:rsidR="005152C2" w:rsidRPr="00B62E04" w:rsidRDefault="005152C2" w:rsidP="005152C2">
      <w:pPr>
        <w:jc w:val="center"/>
        <w:rPr>
          <w:rFonts w:eastAsia="Calibri"/>
          <w:szCs w:val="24"/>
          <w:lang w:eastAsia="en-US"/>
        </w:rPr>
      </w:pPr>
      <w:r w:rsidRPr="00B62E04">
        <w:rPr>
          <w:rFonts w:eastAsia="Calibri"/>
          <w:szCs w:val="24"/>
          <w:vertAlign w:val="superscript"/>
          <w:lang w:eastAsia="en-US"/>
        </w:rPr>
        <w:t>1</w:t>
      </w:r>
      <w:r w:rsidRPr="00B62E04">
        <w:rPr>
          <w:rFonts w:eastAsia="Calibri"/>
          <w:szCs w:val="24"/>
          <w:lang w:eastAsia="en-US"/>
        </w:rPr>
        <w:t xml:space="preserve">Debreceni Egyetem MÉK Növényvédelmi Intézet, Debrecen </w:t>
      </w:r>
    </w:p>
    <w:p w14:paraId="0DFE02D7" w14:textId="77777777" w:rsidR="005152C2" w:rsidRPr="00B62E04" w:rsidRDefault="005152C2" w:rsidP="005152C2">
      <w:pPr>
        <w:jc w:val="center"/>
        <w:rPr>
          <w:rFonts w:eastAsia="Calibri"/>
          <w:szCs w:val="24"/>
          <w:lang w:eastAsia="en-US"/>
        </w:rPr>
      </w:pPr>
      <w:r w:rsidRPr="00B62E04">
        <w:rPr>
          <w:rFonts w:eastAsia="Calibri"/>
          <w:szCs w:val="24"/>
          <w:vertAlign w:val="superscript"/>
          <w:lang w:eastAsia="en-US"/>
        </w:rPr>
        <w:t>2</w:t>
      </w:r>
      <w:r w:rsidRPr="00B62E04">
        <w:rPr>
          <w:rFonts w:eastAsia="Calibri"/>
          <w:szCs w:val="24"/>
          <w:lang w:eastAsia="en-US"/>
        </w:rPr>
        <w:t>Debreceni Egyetem MÉK</w:t>
      </w:r>
      <w:r w:rsidRPr="00B62E0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62E04">
        <w:rPr>
          <w:rFonts w:eastAsia="Calibri"/>
          <w:szCs w:val="24"/>
          <w:lang w:eastAsia="en-US"/>
        </w:rPr>
        <w:t>Növénytudományi Intézet, Növénytermesztéstani, Tájökológiai és Növénynemesítési Tanszék, Debrecen</w:t>
      </w:r>
    </w:p>
    <w:p w14:paraId="64BFA2BB" w14:textId="77777777" w:rsidR="005152C2" w:rsidRPr="00B62E04" w:rsidRDefault="00002C4C" w:rsidP="005152C2">
      <w:pPr>
        <w:jc w:val="center"/>
        <w:rPr>
          <w:rFonts w:eastAsia="Calibri"/>
          <w:szCs w:val="24"/>
          <w:lang w:eastAsia="en-US"/>
        </w:rPr>
      </w:pPr>
      <w:hyperlink r:id="rId4" w:history="1">
        <w:r w:rsidR="005152C2" w:rsidRPr="00B62E04">
          <w:rPr>
            <w:rFonts w:eastAsia="Calibri"/>
            <w:szCs w:val="24"/>
            <w:lang w:eastAsia="en-US"/>
          </w:rPr>
          <w:t>csullog.kitti@agr.unideb.hu</w:t>
        </w:r>
      </w:hyperlink>
    </w:p>
    <w:p w14:paraId="26D2DBB8" w14:textId="77777777" w:rsidR="005152C2" w:rsidRDefault="005152C2" w:rsidP="005152C2">
      <w:pPr>
        <w:rPr>
          <w:rFonts w:eastAsia="Calibri"/>
          <w:szCs w:val="24"/>
          <w:lang w:eastAsia="en-US"/>
        </w:rPr>
      </w:pPr>
    </w:p>
    <w:p w14:paraId="0243D805" w14:textId="77777777" w:rsidR="005152C2" w:rsidRPr="00B62E04" w:rsidRDefault="005152C2" w:rsidP="005152C2">
      <w:pPr>
        <w:rPr>
          <w:rFonts w:eastAsia="Calibri"/>
          <w:szCs w:val="24"/>
          <w:lang w:eastAsia="en-US"/>
        </w:rPr>
      </w:pPr>
      <w:r w:rsidRPr="00B62E04">
        <w:rPr>
          <w:rFonts w:eastAsia="Calibri"/>
          <w:szCs w:val="24"/>
          <w:lang w:eastAsia="en-US"/>
        </w:rPr>
        <w:t xml:space="preserve">Korunk egyik legnagyobb kihívása a globális felmelegedés miatti szélsőséges időjárás. Az idei (2022) évben tapasztalt aszály több milliárdos gazdasági kárt okozott a termelőknek. A </w:t>
      </w:r>
      <w:r w:rsidRPr="00B62E04">
        <w:rPr>
          <w:rFonts w:eastAsia="Calibri"/>
          <w:i/>
          <w:iCs/>
          <w:szCs w:val="24"/>
          <w:lang w:eastAsia="en-US"/>
        </w:rPr>
        <w:t xml:space="preserve">Macrophomina phaseolina </w:t>
      </w:r>
      <w:r w:rsidRPr="00B62E04">
        <w:rPr>
          <w:rFonts w:eastAsia="Calibri"/>
          <w:szCs w:val="24"/>
          <w:lang w:eastAsia="en-US"/>
        </w:rPr>
        <w:t>a jövő egyik legnagyobb károsítással fenyegető kórokozójává fog válni Magyarországon. E melegkedvelő gomba a trópusi és szubtrópusi éghajlaton 100%-</w:t>
      </w:r>
      <w:proofErr w:type="spellStart"/>
      <w:r w:rsidRPr="00B62E04">
        <w:rPr>
          <w:rFonts w:eastAsia="Calibri"/>
          <w:szCs w:val="24"/>
          <w:lang w:eastAsia="en-US"/>
        </w:rPr>
        <w:t>os</w:t>
      </w:r>
      <w:proofErr w:type="spellEnd"/>
      <w:r w:rsidRPr="00B62E04">
        <w:rPr>
          <w:rFonts w:eastAsia="Calibri"/>
          <w:szCs w:val="24"/>
          <w:lang w:eastAsia="en-US"/>
        </w:rPr>
        <w:t xml:space="preserve"> termésveszteséget is okozhat a száraz forró periódusokban. A kórokozó ellen több védekezési lehetőséget ismerünk, mint amilyen az agrotechnikai védekezés (vetésváltás, szántás, </w:t>
      </w:r>
      <w:bookmarkStart w:id="0" w:name="_GoBack"/>
      <w:bookmarkEnd w:id="0"/>
      <w:r w:rsidRPr="00B62E04">
        <w:rPr>
          <w:rFonts w:eastAsia="Calibri"/>
          <w:szCs w:val="24"/>
          <w:lang w:eastAsia="en-US"/>
        </w:rPr>
        <w:t>talajfóliázás), biológiai védekezés (</w:t>
      </w:r>
      <w:proofErr w:type="spellStart"/>
      <w:r w:rsidRPr="00B62E04">
        <w:rPr>
          <w:rFonts w:eastAsia="Calibri"/>
          <w:i/>
          <w:iCs/>
          <w:szCs w:val="24"/>
          <w:lang w:eastAsia="en-US"/>
        </w:rPr>
        <w:t>Trichoderma</w:t>
      </w:r>
      <w:proofErr w:type="spellEnd"/>
      <w:r w:rsidRPr="00B62E04">
        <w:rPr>
          <w:rFonts w:eastAsia="Calibri"/>
          <w:szCs w:val="24"/>
          <w:lang w:eastAsia="en-US"/>
        </w:rPr>
        <w:t xml:space="preserve"> </w:t>
      </w:r>
      <w:proofErr w:type="spellStart"/>
      <w:r w:rsidRPr="00B62E04">
        <w:rPr>
          <w:rFonts w:eastAsia="Calibri"/>
          <w:szCs w:val="24"/>
          <w:lang w:eastAsia="en-US"/>
        </w:rPr>
        <w:t>sp</w:t>
      </w:r>
      <w:proofErr w:type="spellEnd"/>
      <w:r w:rsidRPr="00B62E04">
        <w:rPr>
          <w:rFonts w:eastAsia="Calibri"/>
          <w:szCs w:val="24"/>
          <w:lang w:eastAsia="en-US"/>
        </w:rPr>
        <w:t xml:space="preserve">.), valamint kémiai védekezés is (gombaölő szerek). Magyarországon a vetésváltás nem kivitelezhető a kórokozó széles gazdanövényköre miatt (500 faj). Magyarországon számos, gazdaságilag fontos növényről mondható el, hogy gazdanövénye a kórokozónak, ilyen például a napraforgó, szója, kukorica, repce, burgonya, görögdinnye. </w:t>
      </w:r>
    </w:p>
    <w:p w14:paraId="7FC2F7CD" w14:textId="77777777" w:rsidR="005152C2" w:rsidRPr="00B62E04" w:rsidRDefault="005152C2" w:rsidP="005152C2">
      <w:pPr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Kísérletün</w:t>
      </w:r>
      <w:r w:rsidRPr="00B62E04">
        <w:rPr>
          <w:rFonts w:eastAsia="Calibri"/>
          <w:szCs w:val="24"/>
          <w:lang w:eastAsia="en-US"/>
        </w:rPr>
        <w:t>k</w:t>
      </w:r>
      <w:r>
        <w:rPr>
          <w:rFonts w:eastAsia="Calibri"/>
          <w:szCs w:val="24"/>
          <w:lang w:eastAsia="en-US"/>
        </w:rPr>
        <w:t>e</w:t>
      </w:r>
      <w:r w:rsidRPr="00B62E04">
        <w:rPr>
          <w:rFonts w:eastAsia="Calibri"/>
          <w:szCs w:val="24"/>
          <w:lang w:eastAsia="en-US"/>
        </w:rPr>
        <w:t xml:space="preserve">t 2021 tavaszán állítottuk be Debrecen környékén. Vizsgáltuk a </w:t>
      </w:r>
      <w:proofErr w:type="spellStart"/>
      <w:r w:rsidRPr="00B62E04">
        <w:rPr>
          <w:rFonts w:eastAsia="Calibri"/>
          <w:szCs w:val="24"/>
          <w:lang w:eastAsia="en-US"/>
        </w:rPr>
        <w:t>prokloráz</w:t>
      </w:r>
      <w:proofErr w:type="spellEnd"/>
      <w:r w:rsidRPr="00B62E04">
        <w:rPr>
          <w:rFonts w:eastAsia="Calibri"/>
          <w:szCs w:val="24"/>
          <w:lang w:eastAsia="en-US"/>
        </w:rPr>
        <w:t xml:space="preserve"> hatékonyságát, mint csávázó szer</w:t>
      </w:r>
      <w:r>
        <w:rPr>
          <w:rFonts w:eastAsia="Calibri"/>
          <w:szCs w:val="24"/>
          <w:lang w:eastAsia="en-US"/>
        </w:rPr>
        <w:t>,</w:t>
      </w:r>
      <w:r w:rsidRPr="00B62E04">
        <w:rPr>
          <w:rFonts w:eastAsia="Calibri"/>
          <w:szCs w:val="24"/>
          <w:lang w:eastAsia="en-US"/>
        </w:rPr>
        <w:t xml:space="preserve"> és mint állománypermetező szer. A napraforgó értékmérő tulajdonságai közül vizsgáltuk a tányérátmérőt, a kaszattömeget, az ezerkaszattömeget és az olajszázalékot. A vizsgálataink eredményei alapján a csávázó szerként alkalmazott </w:t>
      </w:r>
      <w:proofErr w:type="spellStart"/>
      <w:r w:rsidRPr="00B62E04">
        <w:rPr>
          <w:rFonts w:eastAsia="Calibri"/>
          <w:szCs w:val="24"/>
          <w:lang w:eastAsia="en-US"/>
        </w:rPr>
        <w:t>prokloráz</w:t>
      </w:r>
      <w:proofErr w:type="spellEnd"/>
      <w:r w:rsidRPr="00B62E04">
        <w:rPr>
          <w:rFonts w:eastAsia="Calibri"/>
          <w:szCs w:val="24"/>
          <w:lang w:eastAsia="en-US"/>
        </w:rPr>
        <w:t xml:space="preserve"> hatóanyag szignifikánsan hatékonyabb volt az állománypermetezéshez képest a fertőzöttségi százalék, a tányérátmérő, a kaszattömeg és ezerkaszattömeg tekintetében, azonban szignifikáns eltérést nem tapasztaltunk az olajtartalomra vonatkozóan. A kontroll parcellák egyszeri állománypermetezése szignifikánsan jobb hatást gyakorolt a tányérátmérőre és az ezerkaszattömegre, de a kaszattömegre nem. A fertőzött növények valamennyi értékmérő tulajdonságban szignifikánsan alacsonyabbak voltak az egészséges növényekhez képest. Az olajszázalék a fertőzött növények esetében átlagosan 2%-</w:t>
      </w:r>
      <w:proofErr w:type="spellStart"/>
      <w:r w:rsidRPr="00B62E04">
        <w:rPr>
          <w:rFonts w:eastAsia="Calibri"/>
          <w:szCs w:val="24"/>
          <w:lang w:eastAsia="en-US"/>
        </w:rPr>
        <w:t>kal</w:t>
      </w:r>
      <w:proofErr w:type="spellEnd"/>
      <w:r w:rsidRPr="00B62E04">
        <w:rPr>
          <w:rFonts w:eastAsia="Calibri"/>
          <w:szCs w:val="24"/>
          <w:lang w:eastAsia="en-US"/>
        </w:rPr>
        <w:t xml:space="preserve"> bizonyult magasabbnak, azonban ez az érték a többi értékmérő tulajdonságban okozott veszteséget nem pótolja.</w:t>
      </w:r>
    </w:p>
    <w:p w14:paraId="0E07A643" w14:textId="77777777" w:rsidR="005152C2" w:rsidRDefault="005152C2"/>
    <w:sectPr w:rsidR="0051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C2"/>
    <w:rsid w:val="00002C4C"/>
    <w:rsid w:val="00433017"/>
    <w:rsid w:val="004A6E73"/>
    <w:rsid w:val="005152C2"/>
    <w:rsid w:val="0084093E"/>
    <w:rsid w:val="008A4209"/>
    <w:rsid w:val="00B8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EA10B"/>
  <w15:chartTrackingRefBased/>
  <w15:docId w15:val="{7ABA2A41-FF49-4758-BFE6-D9023FF4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152C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ullog.kitti@agr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Kövics György</dc:creator>
  <cp:keywords/>
  <dc:description/>
  <cp:lastModifiedBy>admin</cp:lastModifiedBy>
  <cp:revision>2</cp:revision>
  <dcterms:created xsi:type="dcterms:W3CDTF">2025-07-14T19:27:00Z</dcterms:created>
  <dcterms:modified xsi:type="dcterms:W3CDTF">2025-07-14T19:27:00Z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6f843bd382fb9d4145d8553cc73ffca879b321ad324c907f54c8abf49c835d38</vt:lpwstr>
  </property>
</Properties>
</file>