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B6" w:rsidRPr="008F776B" w:rsidRDefault="000151B6">
      <w:pPr>
        <w:pStyle w:val="Szvegtrzs"/>
        <w:rPr>
          <w:b w:val="0"/>
          <w:sz w:val="28"/>
        </w:rPr>
      </w:pPr>
      <w:bookmarkStart w:id="0" w:name="_GoBack"/>
      <w:bookmarkEnd w:id="0"/>
      <w:r w:rsidRPr="008F776B">
        <w:rPr>
          <w:b w:val="0"/>
          <w:sz w:val="28"/>
        </w:rPr>
        <w:t>Foszfor-reakciók összehasonlító elemzése erdőmaradványos csernozjom talajon</w:t>
      </w:r>
    </w:p>
    <w:p w:rsidR="00911560" w:rsidRDefault="00911560" w:rsidP="00911560">
      <w:pPr>
        <w:jc w:val="center"/>
        <w:rPr>
          <w:smallCaps/>
          <w:sz w:val="24"/>
        </w:rPr>
      </w:pPr>
    </w:p>
    <w:p w:rsidR="000151B6" w:rsidRDefault="000151B6" w:rsidP="00911560">
      <w:pPr>
        <w:jc w:val="center"/>
        <w:rPr>
          <w:smallCaps/>
          <w:sz w:val="24"/>
          <w:vertAlign w:val="superscript"/>
        </w:rPr>
      </w:pPr>
      <w:r w:rsidRPr="008F776B">
        <w:rPr>
          <w:smallCaps/>
          <w:sz w:val="24"/>
        </w:rPr>
        <w:t>Árendás Tamás</w:t>
      </w:r>
      <w:r w:rsidRPr="008F776B">
        <w:rPr>
          <w:smallCaps/>
          <w:sz w:val="24"/>
          <w:vertAlign w:val="superscript"/>
        </w:rPr>
        <w:t>1</w:t>
      </w:r>
      <w:r w:rsidRPr="008F776B">
        <w:rPr>
          <w:smallCaps/>
          <w:sz w:val="24"/>
        </w:rPr>
        <w:t>,</w:t>
      </w:r>
      <w:r w:rsidR="008E1362" w:rsidRPr="008F776B">
        <w:rPr>
          <w:smallCaps/>
          <w:sz w:val="24"/>
        </w:rPr>
        <w:t xml:space="preserve"> </w:t>
      </w:r>
      <w:r w:rsidRPr="008F776B">
        <w:rPr>
          <w:smallCaps/>
          <w:sz w:val="24"/>
        </w:rPr>
        <w:t>Csathó Péter</w:t>
      </w:r>
      <w:r w:rsidRPr="008F776B">
        <w:rPr>
          <w:smallCaps/>
          <w:sz w:val="24"/>
          <w:vertAlign w:val="superscript"/>
        </w:rPr>
        <w:t>2</w:t>
      </w:r>
      <w:r w:rsidRPr="008F776B">
        <w:rPr>
          <w:smallCaps/>
          <w:sz w:val="24"/>
        </w:rPr>
        <w:t>, Bónis Péter</w:t>
      </w:r>
      <w:r w:rsidRPr="008F776B">
        <w:rPr>
          <w:smallCaps/>
          <w:sz w:val="24"/>
          <w:vertAlign w:val="superscript"/>
        </w:rPr>
        <w:t>1</w:t>
      </w:r>
      <w:r w:rsidRPr="008F776B">
        <w:rPr>
          <w:smallCaps/>
          <w:sz w:val="24"/>
        </w:rPr>
        <w:t xml:space="preserve">, </w:t>
      </w:r>
      <w:r w:rsidRPr="008F776B">
        <w:rPr>
          <w:smallCaps/>
          <w:sz w:val="24"/>
        </w:rPr>
        <w:br/>
        <w:t>Molnár Dénes</w:t>
      </w:r>
      <w:r w:rsidRPr="008F776B">
        <w:rPr>
          <w:smallCaps/>
          <w:sz w:val="24"/>
          <w:vertAlign w:val="superscript"/>
        </w:rPr>
        <w:t>1</w:t>
      </w:r>
      <w:r w:rsidRPr="008F776B">
        <w:rPr>
          <w:smallCaps/>
          <w:sz w:val="24"/>
        </w:rPr>
        <w:t xml:space="preserve"> </w:t>
      </w:r>
      <w:r w:rsidR="003230E6" w:rsidRPr="008F776B">
        <w:rPr>
          <w:sz w:val="24"/>
        </w:rPr>
        <w:t>és</w:t>
      </w:r>
      <w:r w:rsidR="003230E6" w:rsidRPr="008F776B">
        <w:rPr>
          <w:smallCaps/>
          <w:sz w:val="24"/>
        </w:rPr>
        <w:t xml:space="preserve"> </w:t>
      </w:r>
      <w:r w:rsidRPr="008F776B">
        <w:rPr>
          <w:smallCaps/>
          <w:sz w:val="24"/>
        </w:rPr>
        <w:t>Sarkadi János</w:t>
      </w:r>
      <w:r w:rsidRPr="008F776B">
        <w:rPr>
          <w:smallCaps/>
          <w:sz w:val="24"/>
          <w:vertAlign w:val="superscript"/>
        </w:rPr>
        <w:t>2</w:t>
      </w:r>
    </w:p>
    <w:p w:rsidR="00911560" w:rsidRPr="00911560" w:rsidRDefault="00911560" w:rsidP="00674BD3">
      <w:pPr>
        <w:jc w:val="center"/>
        <w:rPr>
          <w:smallCaps/>
          <w:sz w:val="24"/>
        </w:rPr>
      </w:pPr>
      <w:r>
        <w:rPr>
          <w:smallCaps/>
          <w:sz w:val="24"/>
        </w:rPr>
        <w:tab/>
      </w:r>
    </w:p>
    <w:p w:rsidR="000151B6" w:rsidRPr="008F776B" w:rsidRDefault="00C72BA7">
      <w:pPr>
        <w:jc w:val="center"/>
        <w:rPr>
          <w:caps/>
          <w:sz w:val="22"/>
        </w:rPr>
      </w:pPr>
      <w:r w:rsidRPr="008F776B">
        <w:rPr>
          <w:sz w:val="22"/>
          <w:vertAlign w:val="superscript"/>
        </w:rPr>
        <w:t>1</w:t>
      </w:r>
      <w:r w:rsidRPr="008F776B">
        <w:rPr>
          <w:sz w:val="22"/>
        </w:rPr>
        <w:t>MTA Mezőgazdasági Kutatóintézete, Martonvásár</w:t>
      </w:r>
    </w:p>
    <w:p w:rsidR="000151B6" w:rsidRPr="008F776B" w:rsidRDefault="00C72BA7">
      <w:pPr>
        <w:jc w:val="center"/>
        <w:rPr>
          <w:caps/>
          <w:sz w:val="22"/>
        </w:rPr>
      </w:pPr>
      <w:r w:rsidRPr="008F776B">
        <w:rPr>
          <w:sz w:val="22"/>
          <w:vertAlign w:val="superscript"/>
        </w:rPr>
        <w:t>2</w:t>
      </w:r>
      <w:r w:rsidRPr="008F776B">
        <w:rPr>
          <w:sz w:val="22"/>
        </w:rPr>
        <w:t>MTA Talajtani és Agrokémiai Kutatóintézete, Budapest</w:t>
      </w:r>
    </w:p>
    <w:p w:rsidR="00911560" w:rsidRPr="00911560" w:rsidRDefault="00911560" w:rsidP="00911560">
      <w:pPr>
        <w:ind w:firstLine="425"/>
        <w:jc w:val="center"/>
        <w:rPr>
          <w:sz w:val="24"/>
        </w:rPr>
      </w:pPr>
    </w:p>
    <w:p w:rsidR="000151B6" w:rsidRDefault="000151B6" w:rsidP="00911560">
      <w:pPr>
        <w:ind w:firstLine="425"/>
        <w:jc w:val="both"/>
        <w:rPr>
          <w:sz w:val="22"/>
        </w:rPr>
      </w:pPr>
      <w:r w:rsidRPr="008F776B">
        <w:rPr>
          <w:sz w:val="22"/>
        </w:rPr>
        <w:t>Erdőmaradványos csernozjom talajon beállított trágyázási tartamkísérlet V-X. ciklusának (1976-1999) eredményei alapján kétévenkénti váltással termesztett kukorica és őszi búza P-reakcióit vizsgáltuk. A kiválasztott és N-nel egységesen trágyázott kezelések között a kukoricával végzett 12 kísérlet közül négy, búzában nyolc évben volt statisztikailag igazolható különbség. A terméstöbbletek búzában nemcsak a relatív, hanem az abszolút differenciákat tekintve is nagyobbak voltak, mint a kukoricában. A középérték százalékában kifejezett szórás (CV%) azt igazolta, hogy a harmonikus tápelem ellátottság növelte a kukorica és az őszi búza termésstabilitását. Hat trágyázási ciklus átlagában a búza szemtermése a maximális mennyiséget adó kombinációhoz viszonyítva a P-utóhatás elemzés</w:t>
      </w:r>
      <w:r w:rsidR="00C5265B">
        <w:rPr>
          <w:sz w:val="22"/>
        </w:rPr>
        <w:t>ére alkalmas parcellákon csak 7</w:t>
      </w:r>
      <w:r w:rsidRPr="008F776B">
        <w:rPr>
          <w:sz w:val="22"/>
        </w:rPr>
        <w:t xml:space="preserve">%-kal volt kevesebb, de a variációs koefficiens értéke jelentősen nőtt. </w:t>
      </w:r>
      <w:r w:rsidR="00165A39" w:rsidRPr="008F776B">
        <w:rPr>
          <w:sz w:val="22"/>
        </w:rPr>
        <w:t>A nagy adagú P-trágyák utóhatása búzában 8 kísérleti év összesített eredményei alapján még nem, 12 év után már szignifikánsan eltért a legtöbb termést adó kezeléstől.</w:t>
      </w:r>
    </w:p>
    <w:p w:rsidR="00911560" w:rsidRPr="00911560" w:rsidRDefault="00911560" w:rsidP="00911560">
      <w:pPr>
        <w:ind w:firstLine="425"/>
        <w:jc w:val="both"/>
        <w:rPr>
          <w:sz w:val="6"/>
          <w:szCs w:val="6"/>
        </w:rPr>
      </w:pPr>
    </w:p>
    <w:p w:rsidR="000D1E9E" w:rsidRDefault="000151B6" w:rsidP="00911560">
      <w:pPr>
        <w:ind w:firstLine="425"/>
        <w:jc w:val="both"/>
        <w:rPr>
          <w:sz w:val="22"/>
        </w:rPr>
      </w:pPr>
      <w:r w:rsidRPr="008F776B">
        <w:rPr>
          <w:b/>
          <w:sz w:val="22"/>
        </w:rPr>
        <w:t>Kulcsszavak:</w:t>
      </w:r>
      <w:r w:rsidRPr="008F776B">
        <w:rPr>
          <w:sz w:val="22"/>
        </w:rPr>
        <w:t xml:space="preserve"> P-reakció, P-utóhatás, kukorica, őszi búza</w:t>
      </w:r>
    </w:p>
    <w:p w:rsidR="00911560" w:rsidRPr="00911560" w:rsidRDefault="00911560" w:rsidP="00911560">
      <w:pPr>
        <w:ind w:firstLine="425"/>
        <w:jc w:val="both"/>
        <w:rPr>
          <w:sz w:val="24"/>
        </w:rPr>
      </w:pPr>
    </w:p>
    <w:p w:rsidR="000151B6" w:rsidRDefault="000151B6" w:rsidP="00C87DE6">
      <w:pPr>
        <w:pStyle w:val="Szvegtrzs"/>
        <w:rPr>
          <w:b w:val="0"/>
          <w:spacing w:val="-6"/>
          <w:sz w:val="24"/>
          <w:lang w:val="en-US"/>
        </w:rPr>
      </w:pPr>
      <w:r w:rsidRPr="006C4E75">
        <w:rPr>
          <w:b w:val="0"/>
          <w:spacing w:val="-6"/>
          <w:sz w:val="24"/>
          <w:lang w:val="en-US"/>
        </w:rPr>
        <w:t>Comparative evaluation of phosphorus responses on chernozem soil with forest residues</w:t>
      </w:r>
    </w:p>
    <w:p w:rsidR="00911560" w:rsidRPr="006C4E75" w:rsidRDefault="00911560" w:rsidP="00C87DE6">
      <w:pPr>
        <w:pStyle w:val="Szvegtrzs"/>
        <w:rPr>
          <w:b w:val="0"/>
          <w:spacing w:val="-6"/>
          <w:sz w:val="24"/>
          <w:lang w:val="en-US"/>
        </w:rPr>
      </w:pPr>
    </w:p>
    <w:p w:rsidR="000151B6" w:rsidRDefault="000151B6" w:rsidP="00C87DE6">
      <w:pPr>
        <w:jc w:val="center"/>
        <w:rPr>
          <w:sz w:val="22"/>
          <w:vertAlign w:val="superscript"/>
        </w:rPr>
      </w:pPr>
      <w:r w:rsidRPr="006C4E75">
        <w:rPr>
          <w:sz w:val="22"/>
          <w:lang w:val="en-US"/>
        </w:rPr>
        <w:t xml:space="preserve">T. </w:t>
      </w:r>
      <w:r w:rsidRPr="006C4E75">
        <w:rPr>
          <w:sz w:val="22"/>
        </w:rPr>
        <w:t>ÁRENDÁS</w:t>
      </w:r>
      <w:r w:rsidRPr="006C4E75">
        <w:rPr>
          <w:sz w:val="22"/>
          <w:vertAlign w:val="superscript"/>
        </w:rPr>
        <w:t>1</w:t>
      </w:r>
      <w:r w:rsidRPr="006C4E75">
        <w:rPr>
          <w:sz w:val="22"/>
        </w:rPr>
        <w:t>, P. CSATHÓ</w:t>
      </w:r>
      <w:r w:rsidRPr="006C4E75">
        <w:rPr>
          <w:sz w:val="22"/>
          <w:vertAlign w:val="superscript"/>
        </w:rPr>
        <w:t>2</w:t>
      </w:r>
      <w:r w:rsidRPr="006C4E75">
        <w:rPr>
          <w:sz w:val="22"/>
        </w:rPr>
        <w:t>, P. BÓNIS</w:t>
      </w:r>
      <w:r w:rsidRPr="006C4E75">
        <w:rPr>
          <w:sz w:val="22"/>
          <w:vertAlign w:val="superscript"/>
        </w:rPr>
        <w:t>1</w:t>
      </w:r>
      <w:r w:rsidRPr="006C4E75">
        <w:rPr>
          <w:sz w:val="22"/>
        </w:rPr>
        <w:t>, D. MOLNÁR</w:t>
      </w:r>
      <w:r w:rsidRPr="006C4E75">
        <w:rPr>
          <w:sz w:val="22"/>
          <w:vertAlign w:val="superscript"/>
        </w:rPr>
        <w:t>1</w:t>
      </w:r>
      <w:r w:rsidRPr="006C4E75">
        <w:rPr>
          <w:sz w:val="22"/>
        </w:rPr>
        <w:t xml:space="preserve"> and J. SARKADI</w:t>
      </w:r>
      <w:r w:rsidRPr="006C4E75">
        <w:rPr>
          <w:sz w:val="22"/>
          <w:vertAlign w:val="superscript"/>
        </w:rPr>
        <w:t>2</w:t>
      </w:r>
    </w:p>
    <w:p w:rsidR="00911560" w:rsidRPr="00911560" w:rsidRDefault="00911560" w:rsidP="00C87DE6">
      <w:pPr>
        <w:jc w:val="center"/>
        <w:rPr>
          <w:sz w:val="24"/>
        </w:rPr>
      </w:pPr>
    </w:p>
    <w:p w:rsidR="000151B6" w:rsidRDefault="00C72BA7" w:rsidP="00C87DE6">
      <w:pPr>
        <w:jc w:val="center"/>
      </w:pPr>
      <w:r w:rsidRPr="006C4E75">
        <w:rPr>
          <w:vertAlign w:val="superscript"/>
        </w:rPr>
        <w:t>1</w:t>
      </w:r>
      <w:r w:rsidRPr="006C4E75">
        <w:t>Agricultural Research Institute of the Hungarian Academy of Sciences, Martonvásár</w:t>
      </w:r>
      <w:r w:rsidRPr="006C4E75">
        <w:br/>
      </w:r>
      <w:r w:rsidRPr="006C4E75">
        <w:rPr>
          <w:vertAlign w:val="superscript"/>
        </w:rPr>
        <w:t>2</w:t>
      </w:r>
      <w:r w:rsidRPr="006C4E75">
        <w:t>Research Institute for Soil Science and Agricultural Chemistry of the Hungarian Academy of Sciences, Budapest</w:t>
      </w:r>
    </w:p>
    <w:p w:rsidR="00911560" w:rsidRPr="00911560" w:rsidRDefault="00911560" w:rsidP="00C87DE6">
      <w:pPr>
        <w:jc w:val="center"/>
        <w:rPr>
          <w:caps/>
          <w:sz w:val="24"/>
        </w:rPr>
      </w:pPr>
    </w:p>
    <w:p w:rsidR="000151B6" w:rsidRDefault="000151B6" w:rsidP="00C87DE6">
      <w:pPr>
        <w:ind w:firstLine="426"/>
        <w:jc w:val="both"/>
        <w:rPr>
          <w:lang w:val="en-US"/>
        </w:rPr>
      </w:pPr>
      <w:r w:rsidRPr="006C4E75">
        <w:rPr>
          <w:lang w:val="en-US"/>
        </w:rPr>
        <w:t>The P responses of maize and winter wheat grown in a two years maize – two years wheat diculture were analysed in the 5th–10th cycles (1976–1999) of a long-term fertilisation experiment set up on chernozem soil with forest residues. In the selected treatments, statistically significant differences were observed in four of the 12 maize experiments and in 8 years for wheat. In wheat the yield surpluses were greater both relatively and absolutely than in maize. The deviation, expressed as a percentage of the mean value (CV%), confirmed that balanced nutrient supplies improved the yield stability of maize and winter wheat. Averaged over six fertilisation cycles the wheat grain yields on plots suitable for the analysis of</w:t>
      </w:r>
      <w:r w:rsidR="008C4BB8">
        <w:rPr>
          <w:lang w:val="en-US"/>
        </w:rPr>
        <w:t xml:space="preserve"> the P after-effect were only 7</w:t>
      </w:r>
      <w:r w:rsidRPr="006C4E75">
        <w:rPr>
          <w:lang w:val="en-US"/>
        </w:rPr>
        <w:t>% lower than in the fertiliser combination giving the maximum yield, but the coefficient of va</w:t>
      </w:r>
      <w:r w:rsidR="00D04DCD" w:rsidRPr="006C4E75">
        <w:rPr>
          <w:lang w:val="en-US"/>
        </w:rPr>
        <w:t>riance increased substantially.</w:t>
      </w:r>
      <w:r w:rsidR="00165A39" w:rsidRPr="006C4E75">
        <w:rPr>
          <w:sz w:val="22"/>
        </w:rPr>
        <w:t xml:space="preserve"> </w:t>
      </w:r>
      <w:r w:rsidR="00165A39" w:rsidRPr="006C4E75">
        <w:rPr>
          <w:lang w:val="en-US"/>
        </w:rPr>
        <w:t>The after-effect of high rates of P fertilisers did not exhibit a significant difference from the treatment giving the highest yield when the results were summed after 8 experimental years, but the difference was significant after 12 years.</w:t>
      </w:r>
    </w:p>
    <w:p w:rsidR="00911560" w:rsidRPr="00911560" w:rsidRDefault="00911560" w:rsidP="00C87DE6">
      <w:pPr>
        <w:ind w:firstLine="426"/>
        <w:jc w:val="both"/>
        <w:rPr>
          <w:sz w:val="6"/>
          <w:szCs w:val="6"/>
          <w:lang w:val="en-US"/>
        </w:rPr>
      </w:pPr>
    </w:p>
    <w:p w:rsidR="000151B6" w:rsidRPr="006C4E75" w:rsidRDefault="000151B6" w:rsidP="00C87DE6">
      <w:pPr>
        <w:ind w:firstLine="425"/>
        <w:jc w:val="both"/>
        <w:rPr>
          <w:lang w:val="en-US"/>
        </w:rPr>
      </w:pPr>
      <w:r w:rsidRPr="006C4E75">
        <w:rPr>
          <w:b/>
          <w:lang w:val="en-US"/>
        </w:rPr>
        <w:t>Key words:</w:t>
      </w:r>
      <w:r w:rsidRPr="006C4E75">
        <w:rPr>
          <w:lang w:val="en-US"/>
        </w:rPr>
        <w:t xml:space="preserve"> P response, P after-effect, maize, winter wheat</w:t>
      </w:r>
    </w:p>
    <w:p w:rsidR="00E36223" w:rsidRDefault="00E36223" w:rsidP="00522402">
      <w:pPr>
        <w:spacing w:line="240" w:lineRule="exact"/>
        <w:ind w:firstLine="567"/>
        <w:jc w:val="both"/>
        <w:rPr>
          <w:sz w:val="24"/>
        </w:rPr>
      </w:pPr>
    </w:p>
    <w:p w:rsidR="00674BD3" w:rsidRDefault="00674BD3" w:rsidP="00522402">
      <w:pPr>
        <w:spacing w:line="240" w:lineRule="exact"/>
        <w:ind w:firstLine="567"/>
        <w:jc w:val="both"/>
        <w:rPr>
          <w:sz w:val="24"/>
        </w:rPr>
      </w:pPr>
    </w:p>
    <w:p w:rsidR="00E36223" w:rsidRPr="00E36223" w:rsidRDefault="00E36223" w:rsidP="00522402">
      <w:pPr>
        <w:spacing w:line="240" w:lineRule="exact"/>
        <w:jc w:val="center"/>
        <w:rPr>
          <w:b/>
          <w:sz w:val="24"/>
        </w:rPr>
      </w:pPr>
      <w:r w:rsidRPr="00E36223">
        <w:rPr>
          <w:b/>
          <w:sz w:val="24"/>
        </w:rPr>
        <w:t>Bevezetés</w:t>
      </w:r>
    </w:p>
    <w:p w:rsidR="00E36223" w:rsidRDefault="00E36223" w:rsidP="00522402">
      <w:pPr>
        <w:spacing w:line="240" w:lineRule="exact"/>
        <w:ind w:firstLine="567"/>
        <w:jc w:val="both"/>
        <w:rPr>
          <w:sz w:val="24"/>
        </w:rPr>
      </w:pPr>
    </w:p>
    <w:p w:rsidR="000151B6" w:rsidRPr="00132970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132970">
        <w:rPr>
          <w:sz w:val="24"/>
        </w:rPr>
        <w:t>A XX. század közepéig Magyarországon a szuperfoszfátot tekintették a legfontosabb műtrágyának. Ugyan az ekkor megindult kutatások eredményei a N hatóanyag meghatározó szerepét igazolták, de a kielégítő foszfor-ellátottság főként a kalászos gabona termesztésben napjainkban is kulcsfontosságú (</w:t>
      </w:r>
      <w:r w:rsidRPr="00132970">
        <w:rPr>
          <w:i/>
          <w:sz w:val="24"/>
        </w:rPr>
        <w:t>Sarkadi</w:t>
      </w:r>
      <w:r w:rsidRPr="00132970">
        <w:rPr>
          <w:sz w:val="24"/>
        </w:rPr>
        <w:t xml:space="preserve"> 1963, </w:t>
      </w:r>
      <w:r w:rsidRPr="00132970">
        <w:rPr>
          <w:i/>
          <w:sz w:val="24"/>
        </w:rPr>
        <w:t>Krisztián és Holló</w:t>
      </w:r>
      <w:r w:rsidRPr="00132970">
        <w:rPr>
          <w:sz w:val="24"/>
        </w:rPr>
        <w:t xml:space="preserve"> 1992, </w:t>
      </w:r>
      <w:r w:rsidRPr="00132970">
        <w:rPr>
          <w:i/>
          <w:sz w:val="24"/>
        </w:rPr>
        <w:t>Árendás et al.</w:t>
      </w:r>
      <w:r w:rsidR="00911560">
        <w:rPr>
          <w:sz w:val="24"/>
        </w:rPr>
        <w:t xml:space="preserve"> 1998).</w:t>
      </w:r>
    </w:p>
    <w:p w:rsidR="000151B6" w:rsidRPr="00132970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132970">
        <w:rPr>
          <w:sz w:val="24"/>
        </w:rPr>
        <w:t xml:space="preserve">Az 1960-as évekig jellemző negatív hazai tápelem-mérlegek a felhasznált műtrágya adagok növekedésével megszűntek. A mezőgazdaságilag hasznosított területek foszfor egyenlege ettől az időszaktól kezdve vált pozitív előjelűvé. A makroelemeket tekintve a </w:t>
      </w:r>
      <w:r w:rsidRPr="00132970">
        <w:rPr>
          <w:sz w:val="24"/>
        </w:rPr>
        <w:lastRenderedPageBreak/>
        <w:t>legnagyobb mértékben a P-ellátottság változott. Amíg a ’60-as évek elején hazánkban még nem voltak foszforral jól, vagy igen jól ellátott területek (</w:t>
      </w:r>
      <w:r w:rsidRPr="00132970">
        <w:rPr>
          <w:i/>
          <w:sz w:val="24"/>
        </w:rPr>
        <w:t>Stefanovits és Sarkadi</w:t>
      </w:r>
      <w:r w:rsidRPr="00132970">
        <w:rPr>
          <w:sz w:val="24"/>
        </w:rPr>
        <w:t xml:space="preserve"> 1963), addig 1987-ben - a kukoricatermesztő területek döntő hányadán végzett felmérések eredményei szerint - a talajok több mint 80 %-a már e két kategóriába tartozott (</w:t>
      </w:r>
      <w:r w:rsidRPr="00132970">
        <w:rPr>
          <w:i/>
          <w:sz w:val="24"/>
        </w:rPr>
        <w:t>Buzásné et al.</w:t>
      </w:r>
      <w:r w:rsidRPr="00132970">
        <w:rPr>
          <w:sz w:val="24"/>
        </w:rPr>
        <w:t xml:space="preserve"> 1988). Az elmúlt évtized negatív tápelem-mérlegei miatt Magyarországon a makroelemekkel legjobban ellátott területek részaránya a legutóbbi becslések szerint 15-25 %-kal csökkent (</w:t>
      </w:r>
      <w:r w:rsidRPr="00132970">
        <w:rPr>
          <w:i/>
          <w:sz w:val="24"/>
        </w:rPr>
        <w:t xml:space="preserve">Kádár </w:t>
      </w:r>
      <w:r w:rsidRPr="00132970">
        <w:rPr>
          <w:sz w:val="24"/>
        </w:rPr>
        <w:t>1997). Az agrokémiai kutatásoknak ezért napjainkban is fontos feladata a talajba juttatott P-trágyák hatásának, hasznosulásának, növények által történő felvehetőségének elemzése. A szabadföldi kisparcellás trágyázási kísérletekben a talajba dolgozott és a visszamaradt foszfor felvehetőségének alapvető biológiai vizsgálati módszere a termésreakciók mérése. Ennek klasszikus módja, amikor vízben jól oldódó P-trágyákkal beállított friss P-kezelések termésnövelő hatását hasonlítják össze a régebben P-trágyázott parcellák eredményeivel (</w:t>
      </w:r>
      <w:r w:rsidRPr="00132970">
        <w:rPr>
          <w:i/>
          <w:sz w:val="24"/>
        </w:rPr>
        <w:t>Williams et al.</w:t>
      </w:r>
      <w:r w:rsidRPr="00132970">
        <w:rPr>
          <w:sz w:val="24"/>
        </w:rPr>
        <w:t xml:space="preserve"> 1971).</w:t>
      </w:r>
    </w:p>
    <w:p w:rsidR="00911560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132970">
        <w:rPr>
          <w:sz w:val="24"/>
        </w:rPr>
        <w:t>A termés mennyiségében megnyilvánuló, növényfajtól függő P-reakciók és az azokat meghatározó főbb agrokémiai jellemzők (AL-oldható P</w:t>
      </w:r>
      <w:r w:rsidRPr="00132970">
        <w:rPr>
          <w:sz w:val="24"/>
          <w:vertAlign w:val="subscript"/>
        </w:rPr>
        <w:t>2</w:t>
      </w:r>
      <w:r w:rsidRPr="00132970">
        <w:rPr>
          <w:sz w:val="24"/>
        </w:rPr>
        <w:t>O</w:t>
      </w:r>
      <w:r w:rsidRPr="00132970">
        <w:rPr>
          <w:sz w:val="24"/>
          <w:vertAlign w:val="subscript"/>
        </w:rPr>
        <w:t>5</w:t>
      </w:r>
      <w:r w:rsidRPr="00132970">
        <w:rPr>
          <w:sz w:val="24"/>
        </w:rPr>
        <w:t xml:space="preserve"> koncentráció, pH, mészállapot, kötöttség stb.) k</w:t>
      </w:r>
      <w:r w:rsidR="00C87DE6">
        <w:rPr>
          <w:sz w:val="24"/>
        </w:rPr>
        <w:t>utatási eredményeinek bővülése –</w:t>
      </w:r>
      <w:r w:rsidRPr="00132970">
        <w:rPr>
          <w:sz w:val="24"/>
        </w:rPr>
        <w:t xml:space="preserve"> a P-ellátottsági határérték</w:t>
      </w:r>
      <w:r w:rsidR="00C87DE6">
        <w:rPr>
          <w:sz w:val="24"/>
        </w:rPr>
        <w:t>ek pontosabb kalibrálása révén –</w:t>
      </w:r>
      <w:r w:rsidRPr="00132970">
        <w:rPr>
          <w:sz w:val="24"/>
        </w:rPr>
        <w:t xml:space="preserve"> környezetkímélő trágyázási rendszerek kifejlesztését teszi lehetővé (</w:t>
      </w:r>
      <w:r w:rsidRPr="00132970">
        <w:rPr>
          <w:i/>
          <w:sz w:val="24"/>
        </w:rPr>
        <w:t>Csathó</w:t>
      </w:r>
      <w:r w:rsidRPr="00132970">
        <w:rPr>
          <w:sz w:val="24"/>
        </w:rPr>
        <w:t xml:space="preserve"> 2002).</w:t>
      </w:r>
    </w:p>
    <w:p w:rsidR="00737D0D" w:rsidRDefault="00737D0D" w:rsidP="00522402">
      <w:pPr>
        <w:spacing w:line="240" w:lineRule="exact"/>
        <w:ind w:firstLine="567"/>
        <w:jc w:val="both"/>
        <w:rPr>
          <w:sz w:val="24"/>
        </w:rPr>
      </w:pPr>
    </w:p>
    <w:p w:rsidR="00737D0D" w:rsidRPr="00737D0D" w:rsidRDefault="00737D0D" w:rsidP="00522402">
      <w:pPr>
        <w:spacing w:line="240" w:lineRule="exact"/>
        <w:jc w:val="center"/>
        <w:rPr>
          <w:b/>
          <w:sz w:val="24"/>
        </w:rPr>
      </w:pPr>
      <w:r w:rsidRPr="00737D0D">
        <w:rPr>
          <w:b/>
          <w:sz w:val="24"/>
        </w:rPr>
        <w:t>Anyag és módszer</w:t>
      </w:r>
    </w:p>
    <w:p w:rsidR="00737D0D" w:rsidRPr="00132970" w:rsidRDefault="00737D0D" w:rsidP="00522402">
      <w:pPr>
        <w:spacing w:line="240" w:lineRule="exact"/>
        <w:ind w:firstLine="567"/>
        <w:jc w:val="both"/>
        <w:rPr>
          <w:sz w:val="24"/>
        </w:rPr>
      </w:pPr>
    </w:p>
    <w:p w:rsidR="000151B6" w:rsidRPr="00911560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911560">
        <w:rPr>
          <w:sz w:val="24"/>
        </w:rPr>
        <w:t>Martonvásáron, 1959 őszén állították be Krámer és munkatársai erdőmaradványos csernozjom talaj enyhén kilúgzott változatán az 1.6 jelű trágyázási tartamkísérletet. A vizsgálatok megkezdésekor a 0-20 cm-es talajréteg pH</w:t>
      </w:r>
      <w:r w:rsidRPr="00911560">
        <w:rPr>
          <w:sz w:val="24"/>
          <w:vertAlign w:val="subscript"/>
        </w:rPr>
        <w:t>H2O</w:t>
      </w:r>
      <w:r w:rsidRPr="00911560">
        <w:rPr>
          <w:sz w:val="24"/>
        </w:rPr>
        <w:t>-ja 7,3, mésztar</w:t>
      </w:r>
      <w:r w:rsidR="00737D0D">
        <w:rPr>
          <w:sz w:val="24"/>
        </w:rPr>
        <w:t>talma 0-1%, humusztartalma 3,2</w:t>
      </w:r>
      <w:r w:rsidRPr="00911560">
        <w:rPr>
          <w:sz w:val="24"/>
        </w:rPr>
        <w:t>%, a könnyen oldható makroelem-koncentrációk szerint foszfor-ellátottsága gyenge, kálium-ellátottsága közepes volt.</w:t>
      </w:r>
    </w:p>
    <w:p w:rsidR="000151B6" w:rsidRPr="00911560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911560">
        <w:rPr>
          <w:sz w:val="24"/>
        </w:rPr>
        <w:t>A klasszikus tápelemhiány-kezelések hatását véletlen blokk elrendezésű, 6,5 m x 7,7 m = 50,05 m</w:t>
      </w:r>
      <w:r w:rsidRPr="00911560">
        <w:rPr>
          <w:sz w:val="24"/>
          <w:vertAlign w:val="superscript"/>
        </w:rPr>
        <w:t>2</w:t>
      </w:r>
      <w:r w:rsidRPr="00911560">
        <w:rPr>
          <w:sz w:val="24"/>
        </w:rPr>
        <w:t xml:space="preserve"> méretű parcellákon, négy ismétlésben vizsgáljuk. A négyéves trágyázási ciklusok első két szakaszában kukoricát, 3-4. évében őszi búzát termesztünk. </w:t>
      </w:r>
    </w:p>
    <w:p w:rsidR="000151B6" w:rsidRPr="00911560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911560">
        <w:rPr>
          <w:sz w:val="24"/>
        </w:rPr>
        <w:t>A műtrágyák adagja az I-IV. ciklusban (1960-1975) a '60-as évek trágyázási gyakorlatához igazodott. A N-, P</w:t>
      </w:r>
      <w:r w:rsidRPr="00911560">
        <w:rPr>
          <w:color w:val="000000"/>
          <w:sz w:val="24"/>
          <w:vertAlign w:val="subscript"/>
        </w:rPr>
        <w:t>2</w:t>
      </w:r>
      <w:r w:rsidRPr="00911560">
        <w:rPr>
          <w:sz w:val="24"/>
        </w:rPr>
        <w:t>O</w:t>
      </w:r>
      <w:r w:rsidRPr="00911560">
        <w:rPr>
          <w:color w:val="000000"/>
          <w:sz w:val="24"/>
          <w:vertAlign w:val="subscript"/>
        </w:rPr>
        <w:t>5</w:t>
      </w:r>
      <w:r w:rsidRPr="00911560">
        <w:rPr>
          <w:sz w:val="24"/>
        </w:rPr>
        <w:t>- és K</w:t>
      </w:r>
      <w:r w:rsidRPr="00911560">
        <w:rPr>
          <w:color w:val="000000"/>
          <w:sz w:val="24"/>
          <w:vertAlign w:val="subscript"/>
        </w:rPr>
        <w:t>2</w:t>
      </w:r>
      <w:r w:rsidRPr="00911560">
        <w:rPr>
          <w:sz w:val="24"/>
        </w:rPr>
        <w:t>O-hatóanyagok alapdózisa (N</w:t>
      </w:r>
      <w:r w:rsidRPr="00911560">
        <w:rPr>
          <w:sz w:val="24"/>
          <w:vertAlign w:val="subscript"/>
        </w:rPr>
        <w:t>1</w:t>
      </w:r>
      <w:r w:rsidRPr="00911560">
        <w:rPr>
          <w:sz w:val="24"/>
        </w:rPr>
        <w:t>, P</w:t>
      </w:r>
      <w:r w:rsidRPr="00911560">
        <w:rPr>
          <w:sz w:val="24"/>
          <w:vertAlign w:val="subscript"/>
        </w:rPr>
        <w:t>1</w:t>
      </w:r>
      <w:r w:rsidRPr="00911560">
        <w:rPr>
          <w:sz w:val="24"/>
        </w:rPr>
        <w:t>, K</w:t>
      </w:r>
      <w:r w:rsidRPr="00911560">
        <w:rPr>
          <w:sz w:val="24"/>
          <w:vertAlign w:val="subscript"/>
        </w:rPr>
        <w:t>1</w:t>
      </w:r>
      <w:r w:rsidRPr="00911560">
        <w:rPr>
          <w:sz w:val="24"/>
        </w:rPr>
        <w:t>) 64, 39 és 61 kg ha</w:t>
      </w:r>
      <w:r w:rsidRPr="00911560">
        <w:rPr>
          <w:sz w:val="24"/>
          <w:vertAlign w:val="superscript"/>
        </w:rPr>
        <w:t>-1</w:t>
      </w:r>
      <w:r w:rsidRPr="00911560">
        <w:rPr>
          <w:sz w:val="24"/>
        </w:rPr>
        <w:t xml:space="preserve"> volt. A kezelések 1975 őszétől módosultak, ezáltal a kísérletben lehetővé vált a talajban felhalmozódott eltérő P-mennyiségek utóhatásának vizsgálata is. Az V. trágyázási ciklustól kezdődően a N-, P</w:t>
      </w:r>
      <w:r w:rsidRPr="00911560">
        <w:rPr>
          <w:color w:val="000000"/>
          <w:sz w:val="24"/>
          <w:vertAlign w:val="subscript"/>
        </w:rPr>
        <w:t>2</w:t>
      </w:r>
      <w:r w:rsidRPr="00911560">
        <w:rPr>
          <w:sz w:val="24"/>
        </w:rPr>
        <w:t>O</w:t>
      </w:r>
      <w:r w:rsidRPr="00911560">
        <w:rPr>
          <w:color w:val="000000"/>
          <w:sz w:val="24"/>
          <w:vertAlign w:val="subscript"/>
        </w:rPr>
        <w:t>5</w:t>
      </w:r>
      <w:r w:rsidRPr="00911560">
        <w:rPr>
          <w:sz w:val="24"/>
        </w:rPr>
        <w:t>- és K</w:t>
      </w:r>
      <w:r w:rsidRPr="00911560">
        <w:rPr>
          <w:color w:val="000000"/>
          <w:sz w:val="24"/>
          <w:vertAlign w:val="subscript"/>
        </w:rPr>
        <w:t>2</w:t>
      </w:r>
      <w:r w:rsidRPr="00911560">
        <w:rPr>
          <w:sz w:val="24"/>
        </w:rPr>
        <w:t>O-hatóanyagok mennyisége 160, 80 és 80 kg ha</w:t>
      </w:r>
      <w:r w:rsidRPr="00911560">
        <w:rPr>
          <w:sz w:val="24"/>
          <w:vertAlign w:val="superscript"/>
        </w:rPr>
        <w:t>-1</w:t>
      </w:r>
      <w:r w:rsidRPr="00911560">
        <w:rPr>
          <w:sz w:val="24"/>
        </w:rPr>
        <w:t>.</w:t>
      </w:r>
    </w:p>
    <w:p w:rsidR="000151B6" w:rsidRPr="00911560" w:rsidRDefault="000151B6" w:rsidP="00522402">
      <w:pPr>
        <w:tabs>
          <w:tab w:val="left" w:pos="567"/>
        </w:tabs>
        <w:spacing w:line="240" w:lineRule="exact"/>
        <w:ind w:firstLine="567"/>
        <w:jc w:val="both"/>
        <w:rPr>
          <w:sz w:val="24"/>
        </w:rPr>
      </w:pPr>
      <w:r w:rsidRPr="00911560">
        <w:rPr>
          <w:sz w:val="24"/>
        </w:rPr>
        <w:t>A N-t tartalmazó műtrágyák felét, valamint a P és K teljes mennyiségét ősszel, a talajművelés előtt, a N második fe</w:t>
      </w:r>
      <w:r w:rsidR="00FC2DCA">
        <w:rPr>
          <w:sz w:val="24"/>
        </w:rPr>
        <w:t>lét tavasszal, vetés előtt, illetve</w:t>
      </w:r>
      <w:r w:rsidRPr="00911560">
        <w:rPr>
          <w:sz w:val="24"/>
        </w:rPr>
        <w:t xml:space="preserve"> fejtrágyaként szórjuk ki pétisó, vagy NH</w:t>
      </w:r>
      <w:r w:rsidRPr="00911560">
        <w:rPr>
          <w:sz w:val="24"/>
          <w:vertAlign w:val="subscript"/>
        </w:rPr>
        <w:t>4</w:t>
      </w:r>
      <w:r w:rsidRPr="00911560">
        <w:rPr>
          <w:sz w:val="24"/>
        </w:rPr>
        <w:t>NO</w:t>
      </w:r>
      <w:r w:rsidRPr="00911560">
        <w:rPr>
          <w:sz w:val="24"/>
          <w:vertAlign w:val="subscript"/>
        </w:rPr>
        <w:t>3</w:t>
      </w:r>
      <w:r w:rsidRPr="00911560">
        <w:rPr>
          <w:sz w:val="24"/>
        </w:rPr>
        <w:t xml:space="preserve"> (20,5, </w:t>
      </w:r>
      <w:r w:rsidR="00FC2DCA">
        <w:rPr>
          <w:sz w:val="24"/>
        </w:rPr>
        <w:t>illetve</w:t>
      </w:r>
      <w:r w:rsidR="00FC2DCA" w:rsidRPr="00911560">
        <w:rPr>
          <w:sz w:val="24"/>
        </w:rPr>
        <w:t xml:space="preserve"> </w:t>
      </w:r>
      <w:r w:rsidR="00737D0D">
        <w:rPr>
          <w:sz w:val="24"/>
        </w:rPr>
        <w:t>34% N), szuperfoszfát (18</w:t>
      </w:r>
      <w:r w:rsidRPr="00911560">
        <w:rPr>
          <w:sz w:val="24"/>
        </w:rPr>
        <w:t>% P</w:t>
      </w:r>
      <w:r w:rsidRPr="00911560">
        <w:rPr>
          <w:sz w:val="24"/>
          <w:vertAlign w:val="subscript"/>
        </w:rPr>
        <w:t>2</w:t>
      </w:r>
      <w:r w:rsidRPr="00911560">
        <w:rPr>
          <w:sz w:val="24"/>
        </w:rPr>
        <w:t>O</w:t>
      </w:r>
      <w:r w:rsidRPr="00911560">
        <w:rPr>
          <w:sz w:val="24"/>
          <w:vertAlign w:val="subscript"/>
        </w:rPr>
        <w:t>5</w:t>
      </w:r>
      <w:r w:rsidR="00737D0D">
        <w:rPr>
          <w:sz w:val="24"/>
        </w:rPr>
        <w:t xml:space="preserve">) és kálisó (40, </w:t>
      </w:r>
      <w:r w:rsidR="00FC2DCA">
        <w:rPr>
          <w:sz w:val="24"/>
        </w:rPr>
        <w:t>illetve</w:t>
      </w:r>
      <w:r w:rsidR="00FC2DCA" w:rsidRPr="00911560">
        <w:rPr>
          <w:sz w:val="24"/>
        </w:rPr>
        <w:t xml:space="preserve"> </w:t>
      </w:r>
      <w:r w:rsidR="00737D0D">
        <w:rPr>
          <w:sz w:val="24"/>
        </w:rPr>
        <w:t>60</w:t>
      </w:r>
      <w:r w:rsidRPr="00911560">
        <w:rPr>
          <w:sz w:val="24"/>
        </w:rPr>
        <w:t>% K</w:t>
      </w:r>
      <w:r w:rsidRPr="00911560">
        <w:rPr>
          <w:sz w:val="24"/>
          <w:vertAlign w:val="subscript"/>
        </w:rPr>
        <w:t>2</w:t>
      </w:r>
      <w:r w:rsidRPr="00911560">
        <w:rPr>
          <w:sz w:val="24"/>
        </w:rPr>
        <w:t>O) alakban.</w:t>
      </w:r>
    </w:p>
    <w:p w:rsidR="000151B6" w:rsidRDefault="000151B6" w:rsidP="00522402">
      <w:pPr>
        <w:tabs>
          <w:tab w:val="left" w:pos="567"/>
        </w:tabs>
        <w:spacing w:line="240" w:lineRule="exact"/>
        <w:ind w:firstLine="567"/>
        <w:jc w:val="both"/>
        <w:rPr>
          <w:sz w:val="24"/>
        </w:rPr>
      </w:pPr>
      <w:r w:rsidRPr="00911560">
        <w:rPr>
          <w:sz w:val="24"/>
        </w:rPr>
        <w:t>A kísérlet kezeléseiből a N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P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K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/NPK, a N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P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/NP, a N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K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/NK, a N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/N, a P-utóhatások kimutatására alkalmasak közül a N</w:t>
      </w:r>
      <w:r w:rsidRPr="00911560">
        <w:rPr>
          <w:color w:val="000000"/>
          <w:sz w:val="24"/>
          <w:vertAlign w:val="subscript"/>
        </w:rPr>
        <w:t>2</w:t>
      </w:r>
      <w:r w:rsidRPr="00911560">
        <w:rPr>
          <w:sz w:val="24"/>
        </w:rPr>
        <w:t>P</w:t>
      </w:r>
      <w:r w:rsidRPr="00911560">
        <w:rPr>
          <w:color w:val="000000"/>
          <w:sz w:val="24"/>
          <w:vertAlign w:val="subscript"/>
        </w:rPr>
        <w:t>1</w:t>
      </w:r>
      <w:r w:rsidRPr="00911560">
        <w:rPr>
          <w:sz w:val="24"/>
        </w:rPr>
        <w:t>/NK és a N</w:t>
      </w:r>
      <w:r w:rsidRPr="00911560">
        <w:rPr>
          <w:color w:val="000000"/>
          <w:sz w:val="24"/>
          <w:vertAlign w:val="subscript"/>
        </w:rPr>
        <w:t>2</w:t>
      </w:r>
      <w:r w:rsidRPr="00911560">
        <w:rPr>
          <w:sz w:val="24"/>
        </w:rPr>
        <w:t>P</w:t>
      </w:r>
      <w:r w:rsidRPr="00911560">
        <w:rPr>
          <w:color w:val="000000"/>
          <w:sz w:val="24"/>
          <w:vertAlign w:val="subscript"/>
        </w:rPr>
        <w:t>2</w:t>
      </w:r>
      <w:r w:rsidRPr="00911560">
        <w:rPr>
          <w:sz w:val="24"/>
        </w:rPr>
        <w:t xml:space="preserve">/NK kombinációkat hasonlítottuk össze az 1976-1999. évek termésreakciói alapján. Az adatokat a </w:t>
      </w:r>
      <w:r w:rsidRPr="00911560">
        <w:rPr>
          <w:i/>
          <w:sz w:val="24"/>
        </w:rPr>
        <w:t xml:space="preserve">Sváb </w:t>
      </w:r>
      <w:r w:rsidRPr="00911560">
        <w:rPr>
          <w:sz w:val="24"/>
        </w:rPr>
        <w:t xml:space="preserve">(1981) által megadott metodika szerint varianciaanalízissel elemeztük. Az egyes kezelésekben a törtvonal előtti betűk, </w:t>
      </w:r>
      <w:r w:rsidR="00FC2DCA">
        <w:rPr>
          <w:sz w:val="24"/>
        </w:rPr>
        <w:t>illetve</w:t>
      </w:r>
      <w:r w:rsidR="00FC2DCA" w:rsidRPr="00911560">
        <w:rPr>
          <w:sz w:val="24"/>
        </w:rPr>
        <w:t xml:space="preserve"> </w:t>
      </w:r>
      <w:r w:rsidRPr="00911560">
        <w:rPr>
          <w:sz w:val="24"/>
        </w:rPr>
        <w:t>számok az I-IV. trágyázási ciklusban (1960-1975) vizsgált hatóanyagokat, illetve azok alapdózishoz viszonyított mennyiségeit jelentik. A törtvonal után megadott betűk az ugyanazon parcellára az 1976. évtől kiadott hatóanyagokat jelölik.</w:t>
      </w:r>
    </w:p>
    <w:p w:rsidR="00522402" w:rsidRDefault="00522402" w:rsidP="00522402">
      <w:pPr>
        <w:spacing w:line="240" w:lineRule="exact"/>
        <w:jc w:val="both"/>
        <w:rPr>
          <w:sz w:val="24"/>
        </w:rPr>
      </w:pPr>
    </w:p>
    <w:p w:rsidR="00737D0D" w:rsidRPr="00737D0D" w:rsidRDefault="00737D0D" w:rsidP="00522402">
      <w:pPr>
        <w:spacing w:line="240" w:lineRule="exact"/>
        <w:jc w:val="center"/>
        <w:rPr>
          <w:b/>
          <w:sz w:val="24"/>
        </w:rPr>
      </w:pPr>
      <w:r w:rsidRPr="00737D0D">
        <w:rPr>
          <w:b/>
          <w:sz w:val="24"/>
        </w:rPr>
        <w:t>Eredmények</w:t>
      </w:r>
    </w:p>
    <w:p w:rsidR="00737D0D" w:rsidRDefault="00737D0D" w:rsidP="00522402">
      <w:pPr>
        <w:spacing w:line="240" w:lineRule="exact"/>
        <w:jc w:val="both"/>
        <w:rPr>
          <w:sz w:val="24"/>
        </w:rPr>
      </w:pPr>
    </w:p>
    <w:p w:rsidR="000151B6" w:rsidRPr="00132970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132970">
        <w:rPr>
          <w:sz w:val="24"/>
        </w:rPr>
        <w:t>A kísérlet 0-20 cm-es rétegének AL-oldható P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O</w:t>
      </w:r>
      <w:r w:rsidRPr="00132970">
        <w:rPr>
          <w:color w:val="000000"/>
          <w:sz w:val="24"/>
          <w:vertAlign w:val="subscript"/>
        </w:rPr>
        <w:t>5</w:t>
      </w:r>
      <w:r w:rsidRPr="00132970">
        <w:rPr>
          <w:sz w:val="24"/>
        </w:rPr>
        <w:t>-koncentrációi alapján az I-IV. ciklus után a P-hatóanyaggal nem trágyázott parcellák (N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, 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), valamint az 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 xml:space="preserve"> és N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 xml:space="preserve"> kezelések talaja a </w:t>
      </w:r>
      <w:r w:rsidRPr="00132970">
        <w:rPr>
          <w:i/>
          <w:sz w:val="24"/>
        </w:rPr>
        <w:t xml:space="preserve">MÉM NAK </w:t>
      </w:r>
      <w:r w:rsidRPr="00132970">
        <w:rPr>
          <w:sz w:val="24"/>
        </w:rPr>
        <w:t>(1979) rendszere szerint foszforral gyengén ellátott volt (&lt;60 mg kg</w:t>
      </w:r>
      <w:r w:rsidRPr="00132970">
        <w:rPr>
          <w:sz w:val="24"/>
          <w:vertAlign w:val="superscript"/>
        </w:rPr>
        <w:t>-1</w:t>
      </w:r>
      <w:r w:rsidRPr="00132970">
        <w:rPr>
          <w:sz w:val="24"/>
        </w:rPr>
        <w:t>). Az 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, valamint az N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 xml:space="preserve"> </w:t>
      </w:r>
      <w:r w:rsidRPr="00132970">
        <w:rPr>
          <w:spacing w:val="-4"/>
          <w:sz w:val="24"/>
        </w:rPr>
        <w:t>kezelések növelték a könnyen felvehető P mennyiségét és közepes, (76 mg kg</w:t>
      </w:r>
      <w:r w:rsidRPr="00132970">
        <w:rPr>
          <w:spacing w:val="-4"/>
          <w:sz w:val="24"/>
          <w:vertAlign w:val="superscript"/>
        </w:rPr>
        <w:t>-1</w:t>
      </w:r>
      <w:r w:rsidRPr="00132970">
        <w:rPr>
          <w:spacing w:val="-4"/>
          <w:sz w:val="24"/>
        </w:rPr>
        <w:t xml:space="preserve">), </w:t>
      </w:r>
      <w:r w:rsidR="00FC2DCA">
        <w:rPr>
          <w:sz w:val="24"/>
        </w:rPr>
        <w:t>illetve</w:t>
      </w:r>
      <w:r w:rsidR="00FC2DCA" w:rsidRPr="00911560">
        <w:rPr>
          <w:sz w:val="24"/>
        </w:rPr>
        <w:t xml:space="preserve"> </w:t>
      </w:r>
      <w:r w:rsidRPr="00132970">
        <w:rPr>
          <w:spacing w:val="-4"/>
          <w:sz w:val="24"/>
        </w:rPr>
        <w:t>jó (124 mg kg</w:t>
      </w:r>
      <w:r w:rsidRPr="00132970">
        <w:rPr>
          <w:spacing w:val="-4"/>
          <w:sz w:val="24"/>
          <w:vertAlign w:val="superscript"/>
        </w:rPr>
        <w:t>-1</w:t>
      </w:r>
      <w:r w:rsidRPr="00132970">
        <w:rPr>
          <w:spacing w:val="-4"/>
          <w:sz w:val="24"/>
        </w:rPr>
        <w:t>) ellátottságot eredményeztek. A kezelések módosítása</w:t>
      </w:r>
      <w:r w:rsidRPr="00132970">
        <w:rPr>
          <w:sz w:val="24"/>
        </w:rPr>
        <w:t xml:space="preserve"> után a megnövelt P-hatóanyaggal kezelt parcellák (N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/NP, 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/NPK) P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O</w:t>
      </w:r>
      <w:r w:rsidRPr="00132970">
        <w:rPr>
          <w:color w:val="000000"/>
          <w:sz w:val="24"/>
          <w:vertAlign w:val="subscript"/>
        </w:rPr>
        <w:t>5</w:t>
      </w:r>
      <w:r w:rsidRPr="00132970">
        <w:rPr>
          <w:sz w:val="24"/>
        </w:rPr>
        <w:t>-koncentrációja két trágyázási ciklus (V-VI.) után meghaladva a 100 mg kg</w:t>
      </w:r>
      <w:r w:rsidRPr="00132970">
        <w:rPr>
          <w:sz w:val="24"/>
          <w:vertAlign w:val="superscript"/>
        </w:rPr>
        <w:t>-1</w:t>
      </w:r>
      <w:r w:rsidRPr="00132970">
        <w:rPr>
          <w:sz w:val="24"/>
        </w:rPr>
        <w:t xml:space="preserve"> határértéket jó P-ellátottságot jelzett. A N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 xml:space="preserve">/NK kezelésben a P-trágyázás beszüntetése után már egy ciklust követően </w:t>
      </w:r>
      <w:r w:rsidRPr="00132970">
        <w:rPr>
          <w:sz w:val="24"/>
        </w:rPr>
        <w:lastRenderedPageBreak/>
        <w:t>jelentősen csökkent az AL-oldható P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O</w:t>
      </w:r>
      <w:r w:rsidRPr="00132970">
        <w:rPr>
          <w:color w:val="000000"/>
          <w:sz w:val="24"/>
          <w:vertAlign w:val="subscript"/>
        </w:rPr>
        <w:t>5</w:t>
      </w:r>
      <w:r w:rsidRPr="00132970">
        <w:rPr>
          <w:sz w:val="24"/>
        </w:rPr>
        <w:t>-koncentráció (83 mg kg</w:t>
      </w:r>
      <w:r w:rsidRPr="00132970">
        <w:rPr>
          <w:sz w:val="24"/>
          <w:vertAlign w:val="superscript"/>
        </w:rPr>
        <w:t xml:space="preserve">-1 </w:t>
      </w:r>
      <w:r w:rsidRPr="00132970">
        <w:rPr>
          <w:sz w:val="24"/>
        </w:rPr>
        <w:t>= közepes ellátottság). A könnyen felvehető P-tartalom csökkenése következtében négy trágyázási ciklus után (V-VIII.) a N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/NK parcellák már a foszforral gyengén ellátott kategóriába tartoztak (&lt;60 mg kg</w:t>
      </w:r>
      <w:r w:rsidRPr="00132970">
        <w:rPr>
          <w:sz w:val="24"/>
          <w:vertAlign w:val="superscript"/>
        </w:rPr>
        <w:t>-1</w:t>
      </w:r>
      <w:r w:rsidRPr="00132970">
        <w:rPr>
          <w:sz w:val="24"/>
        </w:rPr>
        <w:t>).</w:t>
      </w:r>
    </w:p>
    <w:p w:rsidR="000151B6" w:rsidRPr="00132970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132970">
        <w:rPr>
          <w:sz w:val="24"/>
        </w:rPr>
        <w:t>A kétévenkénti váltással termesztett kukorica és az őszi búza reakciói szerint (</w:t>
      </w:r>
      <w:r w:rsidRPr="00132970">
        <w:rPr>
          <w:i/>
          <w:sz w:val="24"/>
        </w:rPr>
        <w:t>1. táblázat</w:t>
      </w:r>
      <w:r w:rsidRPr="00132970">
        <w:rPr>
          <w:sz w:val="24"/>
        </w:rPr>
        <w:t>) a vizsgált évek átlagában mindkét növény esetében a 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/NPK trágyák eredményezték a</w:t>
      </w:r>
      <w:r w:rsidR="00031CC1">
        <w:rPr>
          <w:sz w:val="24"/>
        </w:rPr>
        <w:t xml:space="preserve"> l</w:t>
      </w:r>
      <w:r w:rsidRPr="00132970">
        <w:rPr>
          <w:sz w:val="24"/>
        </w:rPr>
        <w:t>egtöbb termést. A kezelések hatásában a kukoricával végzett 12 kísérlet közül csak négy, az őszi búza esetében nyolc évben volt statisztikailag igazolható különbség. A közepes K szolgáltató képességgel rendelkező erdőmaradványos csernozjom talajon K- trágyázás szintjétől függetlenül a foszfor termésnövelő hatása (N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/N vs. 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/NP, 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/NK vs. N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/NPK) kukoricában három, őszi búzában hét évben volt igazolható. Az utóhatások elemzésére alkalmas parcellák közül a gyenge ellátottságúakon (N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1</w:t>
      </w:r>
      <w:r w:rsidRPr="00132970">
        <w:rPr>
          <w:sz w:val="24"/>
        </w:rPr>
        <w:t>/NK) kukoricában négy őszi búzában hat évben, foszforban jól ellátott talajon (N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color w:val="000000"/>
          <w:sz w:val="24"/>
          <w:vertAlign w:val="subscript"/>
        </w:rPr>
        <w:t>2</w:t>
      </w:r>
      <w:r w:rsidRPr="00132970">
        <w:rPr>
          <w:sz w:val="24"/>
        </w:rPr>
        <w:t>/NK) mindkét növény esetében egy-egy évben mértünk szignifikáns differenciákat. A 80 kg ha</w:t>
      </w:r>
      <w:r w:rsidRPr="00132970">
        <w:rPr>
          <w:sz w:val="24"/>
          <w:vertAlign w:val="superscript"/>
        </w:rPr>
        <w:t>-1</w:t>
      </w:r>
      <w:r w:rsidRPr="00132970">
        <w:rPr>
          <w:sz w:val="24"/>
        </w:rPr>
        <w:t xml:space="preserve"> P</w:t>
      </w:r>
      <w:r w:rsidRPr="00132970">
        <w:rPr>
          <w:sz w:val="24"/>
          <w:vertAlign w:val="subscript"/>
        </w:rPr>
        <w:t>2</w:t>
      </w:r>
      <w:r w:rsidRPr="00132970">
        <w:rPr>
          <w:sz w:val="24"/>
        </w:rPr>
        <w:t>O</w:t>
      </w:r>
      <w:r w:rsidRPr="00132970">
        <w:rPr>
          <w:sz w:val="24"/>
          <w:vertAlign w:val="subscript"/>
        </w:rPr>
        <w:t>5</w:t>
      </w:r>
      <w:r w:rsidRPr="00132970">
        <w:rPr>
          <w:sz w:val="24"/>
        </w:rPr>
        <w:t xml:space="preserve"> hatóanyag K kiegészítés nélkül (N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 vs. 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/NP) 13, K trágyákkal (N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/NK vs. 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 xml:space="preserve">/NPK) 16 %-kal növelte a kukorica mennyiségét a kísérleti évek átlagában. Az őszi búza terméstöbbletei nemcsak a relatív (39 </w:t>
      </w:r>
      <w:r w:rsidR="00FC2DCA">
        <w:rPr>
          <w:sz w:val="24"/>
        </w:rPr>
        <w:t>illetve</w:t>
      </w:r>
      <w:r w:rsidR="00FC2DCA" w:rsidRPr="00911560">
        <w:rPr>
          <w:sz w:val="24"/>
        </w:rPr>
        <w:t xml:space="preserve"> </w:t>
      </w:r>
      <w:r w:rsidRPr="00132970">
        <w:rPr>
          <w:sz w:val="24"/>
        </w:rPr>
        <w:t xml:space="preserve">43 %) hanem az abszolút differenciákat tekintve is nagyobbak voltak. Az adatok megerősítik azokat a korábbi megállapításokat, melyek szerint a kalászos gabonák, így az őszi búza érzékenyebben reagál a könnyen oldható P-koncentráció változására, mint a kukorica, </w:t>
      </w:r>
      <w:r w:rsidR="00FC2DCA">
        <w:rPr>
          <w:sz w:val="24"/>
        </w:rPr>
        <w:t>illetve</w:t>
      </w:r>
      <w:r w:rsidR="00FC2DCA" w:rsidRPr="00911560">
        <w:rPr>
          <w:sz w:val="24"/>
        </w:rPr>
        <w:t xml:space="preserve"> </w:t>
      </w:r>
      <w:r w:rsidRPr="00132970">
        <w:rPr>
          <w:sz w:val="24"/>
        </w:rPr>
        <w:t>a széles sortávú szántóföldi növénye</w:t>
      </w:r>
      <w:r w:rsidR="000D1E9E" w:rsidRPr="00132970">
        <w:rPr>
          <w:sz w:val="24"/>
        </w:rPr>
        <w:t>k.</w:t>
      </w:r>
    </w:p>
    <w:p w:rsidR="000D1E9E" w:rsidRPr="00737D0D" w:rsidRDefault="000D1E9E" w:rsidP="00522402">
      <w:pPr>
        <w:ind w:firstLine="567"/>
        <w:jc w:val="both"/>
        <w:rPr>
          <w:sz w:val="24"/>
        </w:rPr>
      </w:pPr>
    </w:p>
    <w:p w:rsidR="000151B6" w:rsidRPr="00132970" w:rsidRDefault="000151B6" w:rsidP="00522402">
      <w:pPr>
        <w:tabs>
          <w:tab w:val="left" w:pos="1134"/>
          <w:tab w:val="left" w:pos="1276"/>
        </w:tabs>
        <w:jc w:val="center"/>
        <w:rPr>
          <w:sz w:val="22"/>
        </w:rPr>
      </w:pPr>
      <w:r w:rsidRPr="00132970">
        <w:rPr>
          <w:i/>
          <w:sz w:val="24"/>
        </w:rPr>
        <w:t>1. táblázat</w:t>
      </w:r>
      <w:r w:rsidRPr="00132970">
        <w:rPr>
          <w:sz w:val="24"/>
        </w:rPr>
        <w:t xml:space="preserve"> Műtrágyák hatása a kukorica és az őszi búza termésreakciójára (t ha</w:t>
      </w:r>
      <w:r w:rsidRPr="00132970">
        <w:rPr>
          <w:sz w:val="24"/>
          <w:vertAlign w:val="superscript"/>
        </w:rPr>
        <w:t>-1</w:t>
      </w:r>
      <w:r w:rsidRPr="00132970">
        <w:rPr>
          <w:sz w:val="24"/>
        </w:rPr>
        <w:t>) erdőmaradványos csernozjom talajon. Martonvásár 1976-1999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1"/>
        <w:gridCol w:w="964"/>
        <w:gridCol w:w="1077"/>
        <w:gridCol w:w="964"/>
        <w:gridCol w:w="964"/>
        <w:gridCol w:w="851"/>
      </w:tblGrid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Év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Kezelés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SzD</w:t>
            </w:r>
            <w:r>
              <w:rPr>
                <w:snapToGrid w:val="0"/>
                <w:color w:val="000000"/>
                <w:sz w:val="18"/>
                <w:vertAlign w:val="subscript"/>
              </w:rPr>
              <w:t>5%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/N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/NP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K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/NK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K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/NPK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  <w:vertAlign w:val="subscript"/>
              </w:rPr>
              <w:t>2</w:t>
            </w:r>
            <w:r>
              <w:rPr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  <w:vertAlign w:val="subscript"/>
              </w:rPr>
              <w:t>1</w:t>
            </w:r>
            <w:r>
              <w:rPr>
                <w:snapToGrid w:val="0"/>
                <w:color w:val="000000"/>
                <w:sz w:val="18"/>
              </w:rPr>
              <w:t>/NK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</w:t>
            </w:r>
            <w:r>
              <w:rPr>
                <w:snapToGrid w:val="0"/>
                <w:color w:val="000000"/>
                <w:sz w:val="18"/>
                <w:vertAlign w:val="subscript"/>
              </w:rPr>
              <w:t>2</w:t>
            </w:r>
            <w:r>
              <w:rPr>
                <w:snapToGrid w:val="0"/>
                <w:color w:val="000000"/>
                <w:sz w:val="18"/>
              </w:rPr>
              <w:t>P</w:t>
            </w:r>
            <w:r>
              <w:rPr>
                <w:snapToGrid w:val="0"/>
                <w:color w:val="000000"/>
                <w:sz w:val="18"/>
                <w:vertAlign w:val="subscript"/>
              </w:rPr>
              <w:t>2</w:t>
            </w:r>
            <w:r>
              <w:rPr>
                <w:snapToGrid w:val="0"/>
                <w:color w:val="000000"/>
                <w:sz w:val="18"/>
              </w:rPr>
              <w:t>/NK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kukorica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1976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6.05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6.08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6.96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7,32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4,39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4,10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0,89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1977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4,02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4,97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4,20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4,67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4,57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5,45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6,00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6,60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5,50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7,08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6,04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6,66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0,44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1981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6,10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6,68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6,35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6,99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6,92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6,49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5,76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6,46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5,18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7,04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6,30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7,12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0,51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1985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5,74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7,41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5,23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7,62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6,28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7,97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0,56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1988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5,04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5,90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5,08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5,38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4,72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4,94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1989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7,92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9,11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7,99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8,37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8,75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8,08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1992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3,72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3,67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3,93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4,39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3,57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4,04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1993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3,31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4,10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4,70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4,09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4,17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3,60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1996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7,83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8,58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8,28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10,04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9,32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8,32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1997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9,15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9,84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8,56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10,17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9,40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10,27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Átlag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5,88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6,62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6,00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6,93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6,20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6,42</w:t>
            </w:r>
          </w:p>
        </w:tc>
        <w:tc>
          <w:tcPr>
            <w:tcW w:w="851" w:type="dxa"/>
          </w:tcPr>
          <w:p w:rsidR="000151B6" w:rsidRDefault="000151B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CV%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13,15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13,73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14,08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10,92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11,37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18,07</w:t>
            </w:r>
          </w:p>
        </w:tc>
        <w:tc>
          <w:tcPr>
            <w:tcW w:w="851" w:type="dxa"/>
          </w:tcPr>
          <w:p w:rsidR="000151B6" w:rsidRDefault="000151B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őszi búza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1978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3,30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5,57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4,56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6,09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4,53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5,26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1979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2,29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4,93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1,66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4,98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3,12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4,86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0,84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1982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5,73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7,01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5,69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6,94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6,00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6,64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0,69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1983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3,94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6,51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2,80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6,30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5,04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6,33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1,01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1986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4,19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5,14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4,30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5,04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4,40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4,54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1987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2,91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4,00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2,98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4,25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3,47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3,70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0,78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2,49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3,02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2,24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2,82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3,03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3,61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0,81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1991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3,00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5,87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2,35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5,43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3,18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4,57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1,79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1994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5,36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6,20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5,49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6,62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6,00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6,47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0,81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1995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2,28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2,88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2,46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3,15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2,57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2,53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1998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5,52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5,42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5,34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5,59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5,60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5,70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NS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1999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2,20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3,75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2,59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3,66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2,72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2,63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0,54</w:t>
            </w: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</w:tcPr>
          <w:p w:rsidR="000151B6" w:rsidRDefault="000151B6">
            <w:pPr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Átlag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3,60</w:t>
            </w:r>
          </w:p>
        </w:tc>
        <w:tc>
          <w:tcPr>
            <w:tcW w:w="851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5,02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3,54</w:t>
            </w:r>
          </w:p>
        </w:tc>
        <w:tc>
          <w:tcPr>
            <w:tcW w:w="1077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5,07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4,14</w:t>
            </w:r>
          </w:p>
        </w:tc>
        <w:tc>
          <w:tcPr>
            <w:tcW w:w="964" w:type="dxa"/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4,74</w:t>
            </w:r>
          </w:p>
        </w:tc>
        <w:tc>
          <w:tcPr>
            <w:tcW w:w="851" w:type="dxa"/>
          </w:tcPr>
          <w:p w:rsidR="000151B6" w:rsidRDefault="000151B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</w:tr>
      <w:tr w:rsidR="00015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0151B6" w:rsidRDefault="000151B6">
            <w:pPr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CV%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20,60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12,13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18,26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10,34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22,19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0151B6" w:rsidRDefault="000151B6">
            <w:pPr>
              <w:jc w:val="center"/>
              <w:rPr>
                <w:i/>
                <w:snapToGrid w:val="0"/>
                <w:color w:val="000000"/>
                <w:sz w:val="18"/>
              </w:rPr>
            </w:pPr>
            <w:r>
              <w:rPr>
                <w:i/>
                <w:snapToGrid w:val="0"/>
                <w:color w:val="000000"/>
                <w:sz w:val="18"/>
              </w:rPr>
              <w:t>17,12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151B6" w:rsidRDefault="000151B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</w:tr>
    </w:tbl>
    <w:p w:rsidR="00031CC1" w:rsidRDefault="000151B6" w:rsidP="00031CC1">
      <w:pPr>
        <w:spacing w:before="60"/>
        <w:jc w:val="both"/>
        <w:rPr>
          <w:sz w:val="18"/>
        </w:rPr>
      </w:pPr>
      <w:r>
        <w:rPr>
          <w:sz w:val="18"/>
        </w:rPr>
        <w:t>NS - nem szignifikán</w:t>
      </w:r>
    </w:p>
    <w:p w:rsidR="00522402" w:rsidRDefault="00522402" w:rsidP="00522402">
      <w:pPr>
        <w:spacing w:line="240" w:lineRule="exact"/>
        <w:ind w:firstLine="567"/>
        <w:jc w:val="both"/>
        <w:rPr>
          <w:sz w:val="24"/>
        </w:rPr>
      </w:pPr>
    </w:p>
    <w:p w:rsidR="00522402" w:rsidRDefault="00522402" w:rsidP="00522402">
      <w:pPr>
        <w:spacing w:line="240" w:lineRule="exact"/>
        <w:ind w:firstLine="567"/>
        <w:jc w:val="both"/>
        <w:rPr>
          <w:sz w:val="24"/>
        </w:rPr>
      </w:pPr>
    </w:p>
    <w:p w:rsidR="000151B6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132970">
        <w:rPr>
          <w:sz w:val="24"/>
        </w:rPr>
        <w:t xml:space="preserve">A szemtermés mennyisége alapján mért P-reakciók időbeli változását az évek figyelembe vételével három - növekvő időtartamú - periódusra bontva (V-VI., V-VIII. és V- X. ciklus) </w:t>
      </w:r>
      <w:r w:rsidRPr="00132970">
        <w:rPr>
          <w:sz w:val="24"/>
        </w:rPr>
        <w:lastRenderedPageBreak/>
        <w:t>elemeztük (</w:t>
      </w:r>
      <w:r w:rsidRPr="00132970">
        <w:rPr>
          <w:i/>
          <w:sz w:val="24"/>
        </w:rPr>
        <w:t>1. ábra</w:t>
      </w:r>
      <w:r w:rsidRPr="00132970">
        <w:rPr>
          <w:sz w:val="24"/>
        </w:rPr>
        <w:t xml:space="preserve">). A kukorica és a búza termése a vizsgált kísérleti időszak hosszától függetlenül (4, 8 </w:t>
      </w:r>
      <w:r w:rsidR="00FC2DCA">
        <w:rPr>
          <w:sz w:val="24"/>
        </w:rPr>
        <w:t>illetve</w:t>
      </w:r>
      <w:r w:rsidR="00FC2DCA" w:rsidRPr="00911560">
        <w:rPr>
          <w:sz w:val="24"/>
        </w:rPr>
        <w:t xml:space="preserve"> </w:t>
      </w:r>
      <w:r w:rsidRPr="00132970">
        <w:rPr>
          <w:sz w:val="24"/>
        </w:rPr>
        <w:t>12 év) az 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/NPK kezelés hatására volt a legtöbb. Az N</w:t>
      </w:r>
      <w:r w:rsidRPr="00132970">
        <w:rPr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sz w:val="24"/>
          <w:vertAlign w:val="subscript"/>
        </w:rPr>
        <w:t>2</w:t>
      </w:r>
      <w:r w:rsidRPr="00132970">
        <w:rPr>
          <w:sz w:val="24"/>
        </w:rPr>
        <w:t>/NK parcellákon a kukorica mennyisége mindhárom időintervallumot tekintve igazolhatóan csökkent az optimális kezeléshez viszonyítva. Ugyanakkor hosszabb periódust figyelembe véve (8, 12 év) a növények által fel nem vett foszfor utóhatása a P-hiányos kontroll-lal (N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/NK) összehasonlítva szignifikáns volt.</w:t>
      </w:r>
    </w:p>
    <w:p w:rsidR="008F776B" w:rsidRPr="00132970" w:rsidRDefault="008F776B" w:rsidP="00522402">
      <w:pPr>
        <w:spacing w:line="240" w:lineRule="exact"/>
        <w:ind w:firstLine="567"/>
        <w:jc w:val="both"/>
        <w:rPr>
          <w:sz w:val="24"/>
        </w:rPr>
      </w:pPr>
      <w:r w:rsidRPr="00132970">
        <w:rPr>
          <w:sz w:val="24"/>
        </w:rPr>
        <w:t>A kukoricához hasonlóan a kis P-trágya adagok utóhatása (N</w:t>
      </w:r>
      <w:r w:rsidRPr="00132970">
        <w:rPr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/NK) már a vizsgálatok korai periódusában (V-VI. ciklus) kisebb volt, mint az évenként adott friss foszforé (N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P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/NPK). A kétszeres mennyiségű P-trágyák utóhatása (N</w:t>
      </w:r>
      <w:r w:rsidRPr="00132970">
        <w:rPr>
          <w:sz w:val="24"/>
          <w:vertAlign w:val="subscript"/>
        </w:rPr>
        <w:t>2</w:t>
      </w:r>
      <w:r w:rsidRPr="00132970">
        <w:rPr>
          <w:sz w:val="24"/>
        </w:rPr>
        <w:t>P</w:t>
      </w:r>
      <w:r w:rsidRPr="00132970">
        <w:rPr>
          <w:sz w:val="24"/>
          <w:vertAlign w:val="subscript"/>
        </w:rPr>
        <w:t>2</w:t>
      </w:r>
      <w:r w:rsidRPr="00132970">
        <w:rPr>
          <w:sz w:val="24"/>
        </w:rPr>
        <w:t xml:space="preserve">/NK) nyolc kísérleti évet követően (V-VIII. ciklus) nem különbözött igazolhatóan a legnagyobb termésű kezeléstől. A csökkenés csak tizenkét év összesített eredményei alapján volt szignifikáns. </w:t>
      </w:r>
    </w:p>
    <w:p w:rsidR="008F776B" w:rsidRPr="00031CC1" w:rsidRDefault="008F776B" w:rsidP="00031CC1">
      <w:pPr>
        <w:spacing w:before="60"/>
        <w:jc w:val="both"/>
        <w:rPr>
          <w:sz w:val="22"/>
        </w:rPr>
      </w:pPr>
    </w:p>
    <w:p w:rsidR="00222440" w:rsidRPr="00E36D51" w:rsidRDefault="00A00DC6" w:rsidP="00C87DE6">
      <w:pPr>
        <w:jc w:val="center"/>
        <w:rPr>
          <w:sz w:val="18"/>
        </w:rPr>
      </w:pPr>
      <w:r w:rsidRPr="00132970">
        <w:rPr>
          <w:noProof/>
          <w:sz w:val="32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362585</wp:posOffset>
            </wp:positionV>
            <wp:extent cx="3848100" cy="2077085"/>
            <wp:effectExtent l="0" t="0" r="0" b="0"/>
            <wp:wrapTopAndBottom/>
            <wp:docPr id="4" name="Objektu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E75">
        <w:rPr>
          <w:i/>
          <w:sz w:val="24"/>
        </w:rPr>
        <w:t>1</w:t>
      </w:r>
      <w:r w:rsidR="00E36D51" w:rsidRPr="00132970">
        <w:rPr>
          <w:i/>
          <w:sz w:val="24"/>
        </w:rPr>
        <w:t>. ábra</w:t>
      </w:r>
      <w:r w:rsidR="00E36D51" w:rsidRPr="00132970">
        <w:rPr>
          <w:sz w:val="24"/>
        </w:rPr>
        <w:t xml:space="preserve"> A kukorica és az őszi búza P-reakciója a kísérleti évek száma függvényében,</w:t>
      </w:r>
      <w:r w:rsidR="00E36D51" w:rsidRPr="00132970">
        <w:rPr>
          <w:sz w:val="24"/>
        </w:rPr>
        <w:br/>
        <w:t xml:space="preserve"> Martonvásár, 1976-1999</w:t>
      </w:r>
    </w:p>
    <w:p w:rsidR="000151B6" w:rsidRDefault="000151B6" w:rsidP="00522402">
      <w:pPr>
        <w:spacing w:line="240" w:lineRule="exact"/>
        <w:ind w:firstLine="567"/>
        <w:jc w:val="both"/>
        <w:rPr>
          <w:sz w:val="24"/>
        </w:rPr>
      </w:pPr>
      <w:r w:rsidRPr="00132970">
        <w:rPr>
          <w:sz w:val="24"/>
        </w:rPr>
        <w:t>A kukoricával megegyezően a P trágyázásban nem részesített kontroll parcellákat (N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/N, N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K</w:t>
      </w:r>
      <w:r w:rsidRPr="00132970">
        <w:rPr>
          <w:sz w:val="24"/>
          <w:vertAlign w:val="subscript"/>
        </w:rPr>
        <w:t>1</w:t>
      </w:r>
      <w:r w:rsidRPr="00132970">
        <w:rPr>
          <w:sz w:val="24"/>
        </w:rPr>
        <w:t>/NK) a vizsgált periódus hosszától függetlenül búzában is azonos termésreakciók jellemezték. Ezekhez a kezelésekhez viszonyítva még a kis P-trágya adagok utóhatása is igazolhatóan pozitív volt 12 kísérleti adatai szerint.</w:t>
      </w:r>
    </w:p>
    <w:p w:rsidR="00132970" w:rsidRPr="00132970" w:rsidRDefault="00132970">
      <w:pPr>
        <w:ind w:firstLine="567"/>
        <w:jc w:val="both"/>
        <w:rPr>
          <w:sz w:val="24"/>
        </w:rPr>
      </w:pPr>
    </w:p>
    <w:p w:rsidR="000151B6" w:rsidRDefault="000151B6" w:rsidP="00C87DE6">
      <w:pPr>
        <w:jc w:val="center"/>
        <w:rPr>
          <w:b/>
          <w:sz w:val="24"/>
        </w:rPr>
      </w:pPr>
      <w:r w:rsidRPr="00132970">
        <w:rPr>
          <w:b/>
          <w:sz w:val="24"/>
        </w:rPr>
        <w:t>Köszönetnyilvánítás</w:t>
      </w:r>
    </w:p>
    <w:p w:rsidR="00C87DE6" w:rsidRPr="00132970" w:rsidRDefault="00C87DE6" w:rsidP="00C87DE6">
      <w:pPr>
        <w:jc w:val="center"/>
        <w:rPr>
          <w:b/>
          <w:sz w:val="24"/>
        </w:rPr>
      </w:pPr>
    </w:p>
    <w:p w:rsidR="000151B6" w:rsidRDefault="000151B6" w:rsidP="00BB0A76">
      <w:pPr>
        <w:ind w:left="567"/>
        <w:jc w:val="center"/>
        <w:rPr>
          <w:sz w:val="22"/>
        </w:rPr>
      </w:pPr>
      <w:r w:rsidRPr="00BB0A76">
        <w:rPr>
          <w:sz w:val="22"/>
        </w:rPr>
        <w:t>A dolgozat a T 38018 sz. OTKA pályázat támogatásával készült.</w:t>
      </w:r>
    </w:p>
    <w:p w:rsidR="00C87DE6" w:rsidRPr="00C87DE6" w:rsidRDefault="00C87DE6" w:rsidP="00BB0A76">
      <w:pPr>
        <w:ind w:left="567"/>
        <w:jc w:val="center"/>
        <w:rPr>
          <w:sz w:val="24"/>
        </w:rPr>
      </w:pPr>
    </w:p>
    <w:p w:rsidR="00C87DE6" w:rsidRPr="00C87DE6" w:rsidRDefault="00C87DE6" w:rsidP="00C87DE6">
      <w:pPr>
        <w:jc w:val="center"/>
        <w:rPr>
          <w:b/>
          <w:sz w:val="24"/>
        </w:rPr>
      </w:pPr>
      <w:r w:rsidRPr="00C87DE6">
        <w:rPr>
          <w:b/>
          <w:sz w:val="24"/>
        </w:rPr>
        <w:t>Irodalom</w:t>
      </w:r>
    </w:p>
    <w:p w:rsidR="00C87DE6" w:rsidRPr="00C87DE6" w:rsidRDefault="00C87DE6" w:rsidP="00BB0A76">
      <w:pPr>
        <w:ind w:left="567"/>
        <w:jc w:val="center"/>
        <w:rPr>
          <w:sz w:val="24"/>
        </w:rPr>
      </w:pPr>
    </w:p>
    <w:p w:rsidR="000151B6" w:rsidRPr="00BB0A76" w:rsidRDefault="000151B6">
      <w:pPr>
        <w:ind w:left="567" w:hanging="567"/>
        <w:jc w:val="both"/>
        <w:rPr>
          <w:sz w:val="22"/>
        </w:rPr>
      </w:pPr>
      <w:r w:rsidRPr="00BB0A76">
        <w:rPr>
          <w:sz w:val="22"/>
        </w:rPr>
        <w:t xml:space="preserve">Árendás, T., Sarkadi, J., Molnár D. (1998): Műtrágyahatások kukorica-őszi búza dikultúrában erdőmaradványos csernozjom talajon. </w:t>
      </w:r>
      <w:r w:rsidRPr="00BB0A76">
        <w:rPr>
          <w:i/>
          <w:sz w:val="22"/>
        </w:rPr>
        <w:t>Növénytermelés</w:t>
      </w:r>
      <w:r w:rsidRPr="00BB0A76">
        <w:rPr>
          <w:sz w:val="22"/>
        </w:rPr>
        <w:t xml:space="preserve">, </w:t>
      </w:r>
      <w:r w:rsidRPr="00BB0A76">
        <w:rPr>
          <w:b/>
          <w:sz w:val="22"/>
        </w:rPr>
        <w:t>47</w:t>
      </w:r>
      <w:r w:rsidRPr="00BB0A76">
        <w:rPr>
          <w:sz w:val="22"/>
        </w:rPr>
        <w:t>, 45-57.</w:t>
      </w:r>
    </w:p>
    <w:p w:rsidR="000151B6" w:rsidRPr="00BB0A76" w:rsidRDefault="000151B6">
      <w:pPr>
        <w:ind w:left="567" w:hanging="567"/>
        <w:jc w:val="both"/>
        <w:rPr>
          <w:sz w:val="22"/>
        </w:rPr>
      </w:pPr>
      <w:r w:rsidRPr="00BB0A76">
        <w:rPr>
          <w:sz w:val="22"/>
        </w:rPr>
        <w:t xml:space="preserve">Berzsenyi, Z., Győrffy, B. (1996): A vetésforgó és a trágyázás hatása a kukorica termésére és termésstabilitására tartamkísérletben. </w:t>
      </w:r>
      <w:r w:rsidRPr="00BB0A76">
        <w:rPr>
          <w:i/>
          <w:sz w:val="22"/>
        </w:rPr>
        <w:t>Növénytermelés</w:t>
      </w:r>
      <w:r w:rsidRPr="00BB0A76">
        <w:rPr>
          <w:sz w:val="22"/>
        </w:rPr>
        <w:t xml:space="preserve">, </w:t>
      </w:r>
      <w:r w:rsidRPr="00BB0A76">
        <w:rPr>
          <w:b/>
          <w:sz w:val="22"/>
        </w:rPr>
        <w:t>45</w:t>
      </w:r>
      <w:r w:rsidRPr="00BB0A76">
        <w:rPr>
          <w:sz w:val="22"/>
        </w:rPr>
        <w:t>, 281-296.</w:t>
      </w:r>
    </w:p>
    <w:p w:rsidR="000151B6" w:rsidRPr="00BB0A76" w:rsidRDefault="000151B6">
      <w:pPr>
        <w:ind w:left="567" w:hanging="567"/>
        <w:jc w:val="both"/>
        <w:rPr>
          <w:sz w:val="22"/>
        </w:rPr>
      </w:pPr>
      <w:r w:rsidRPr="00BB0A76">
        <w:rPr>
          <w:sz w:val="22"/>
        </w:rPr>
        <w:t xml:space="preserve">Berzsenyi, Z., Győrffy, B. (1997): A vetésforgó és a trágyázás hatása a búza termésére és termésstabilitására tartamkísérletben. </w:t>
      </w:r>
      <w:r w:rsidRPr="00BB0A76">
        <w:rPr>
          <w:i/>
          <w:sz w:val="22"/>
        </w:rPr>
        <w:t>Növénytermelés</w:t>
      </w:r>
      <w:r w:rsidRPr="00BB0A76">
        <w:rPr>
          <w:sz w:val="22"/>
        </w:rPr>
        <w:t xml:space="preserve">, </w:t>
      </w:r>
      <w:r w:rsidRPr="00BB0A76">
        <w:rPr>
          <w:b/>
          <w:sz w:val="22"/>
        </w:rPr>
        <w:t>46</w:t>
      </w:r>
      <w:r w:rsidRPr="00BB0A76">
        <w:rPr>
          <w:sz w:val="22"/>
        </w:rPr>
        <w:t>, 145-161.</w:t>
      </w:r>
    </w:p>
    <w:p w:rsidR="000151B6" w:rsidRPr="00BB0A76" w:rsidRDefault="000151B6">
      <w:pPr>
        <w:tabs>
          <w:tab w:val="left" w:pos="1134"/>
          <w:tab w:val="left" w:pos="1276"/>
        </w:tabs>
        <w:ind w:left="567" w:hanging="567"/>
        <w:jc w:val="both"/>
        <w:rPr>
          <w:sz w:val="22"/>
        </w:rPr>
      </w:pPr>
      <w:r w:rsidRPr="00BB0A76">
        <w:rPr>
          <w:sz w:val="22"/>
        </w:rPr>
        <w:t xml:space="preserve">Buzás, I.-né, Karkalik, A.-né, Tihanyi, L. (1988): A műtrágyázási szaktanácsadás és a műtrágyázás gyakorlatának összehasonlítása az 1987. évi kukoricatermesztési tapasztalatok alapján. </w:t>
      </w:r>
      <w:r w:rsidRPr="00BB0A76">
        <w:rPr>
          <w:i/>
          <w:sz w:val="22"/>
        </w:rPr>
        <w:t>Hungarochem '88</w:t>
      </w:r>
      <w:r w:rsidRPr="00BB0A76">
        <w:rPr>
          <w:sz w:val="22"/>
        </w:rPr>
        <w:t>. 183-198.</w:t>
      </w:r>
    </w:p>
    <w:p w:rsidR="000151B6" w:rsidRPr="00132970" w:rsidRDefault="000151B6">
      <w:pPr>
        <w:tabs>
          <w:tab w:val="left" w:pos="1134"/>
          <w:tab w:val="left" w:pos="1276"/>
        </w:tabs>
        <w:ind w:left="567" w:hanging="567"/>
        <w:jc w:val="both"/>
      </w:pPr>
      <w:r w:rsidRPr="00BB0A76">
        <w:rPr>
          <w:sz w:val="22"/>
        </w:rPr>
        <w:t xml:space="preserve">Kádár, I. (1997): Talajaink tápelemgazdálkodása az ezredfordulón. </w:t>
      </w:r>
      <w:r w:rsidRPr="00BB0A76">
        <w:rPr>
          <w:i/>
          <w:sz w:val="22"/>
        </w:rPr>
        <w:t>Növénytermelés</w:t>
      </w:r>
      <w:r w:rsidRPr="00BB0A76">
        <w:rPr>
          <w:sz w:val="22"/>
        </w:rPr>
        <w:t xml:space="preserve">, </w:t>
      </w:r>
      <w:r w:rsidRPr="00BB0A76">
        <w:rPr>
          <w:b/>
          <w:sz w:val="22"/>
        </w:rPr>
        <w:t>46</w:t>
      </w:r>
      <w:r w:rsidRPr="00BB0A76">
        <w:rPr>
          <w:sz w:val="22"/>
        </w:rPr>
        <w:t xml:space="preserve">, 73-84. </w:t>
      </w:r>
    </w:p>
    <w:sectPr w:rsidR="000151B6" w:rsidRPr="00132970" w:rsidSect="0090784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1701" w:right="1361" w:bottom="1701" w:left="1361" w:header="1247" w:footer="1247" w:gutter="0"/>
      <w:pgNumType w:start="5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96" w:rsidRDefault="00651D96">
      <w:r>
        <w:separator/>
      </w:r>
    </w:p>
  </w:endnote>
  <w:endnote w:type="continuationSeparator" w:id="0">
    <w:p w:rsidR="00651D96" w:rsidRDefault="0065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B6" w:rsidRDefault="000151B6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B6" w:rsidRDefault="000151B6">
    <w:pPr>
      <w:pStyle w:val="llb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455" w:rsidRDefault="00D15455">
    <w:pPr>
      <w:pStyle w:val="llb"/>
      <w:jc w:val="center"/>
    </w:pPr>
  </w:p>
  <w:p w:rsidR="00D15455" w:rsidRDefault="00D1545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96" w:rsidRDefault="00651D96">
      <w:r>
        <w:separator/>
      </w:r>
    </w:p>
  </w:footnote>
  <w:footnote w:type="continuationSeparator" w:id="0">
    <w:p w:rsidR="00651D96" w:rsidRDefault="0065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B6" w:rsidRDefault="000151B6">
    <w:pPr>
      <w:pStyle w:val="lfej"/>
      <w:jc w:val="center"/>
      <w:rPr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313D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>
    <w:nsid w:val="1F430A4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">
    <w:nsid w:val="4C98218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655387A"/>
    <w:multiLevelType w:val="hybridMultilevel"/>
    <w:tmpl w:val="86DC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AB"/>
    <w:rsid w:val="000151B6"/>
    <w:rsid w:val="00031CC1"/>
    <w:rsid w:val="000D1E9E"/>
    <w:rsid w:val="000D669F"/>
    <w:rsid w:val="00132970"/>
    <w:rsid w:val="00165A39"/>
    <w:rsid w:val="00222440"/>
    <w:rsid w:val="002745B1"/>
    <w:rsid w:val="002B2249"/>
    <w:rsid w:val="003230E6"/>
    <w:rsid w:val="00355820"/>
    <w:rsid w:val="00443722"/>
    <w:rsid w:val="004E0E3F"/>
    <w:rsid w:val="00522402"/>
    <w:rsid w:val="00651D96"/>
    <w:rsid w:val="00674BD3"/>
    <w:rsid w:val="006C4E75"/>
    <w:rsid w:val="00737D0D"/>
    <w:rsid w:val="008246B0"/>
    <w:rsid w:val="00894DAC"/>
    <w:rsid w:val="008C4BB8"/>
    <w:rsid w:val="008D2D55"/>
    <w:rsid w:val="008E1362"/>
    <w:rsid w:val="008F776B"/>
    <w:rsid w:val="0090784A"/>
    <w:rsid w:val="00911560"/>
    <w:rsid w:val="00915FEC"/>
    <w:rsid w:val="0092511B"/>
    <w:rsid w:val="00A00DC6"/>
    <w:rsid w:val="00A23019"/>
    <w:rsid w:val="00B53FAB"/>
    <w:rsid w:val="00BB0A76"/>
    <w:rsid w:val="00C5265B"/>
    <w:rsid w:val="00C72BA7"/>
    <w:rsid w:val="00C87DE6"/>
    <w:rsid w:val="00D04DCD"/>
    <w:rsid w:val="00D15455"/>
    <w:rsid w:val="00DF3D24"/>
    <w:rsid w:val="00E36223"/>
    <w:rsid w:val="00E36D51"/>
    <w:rsid w:val="00E870FC"/>
    <w:rsid w:val="00EB55E6"/>
    <w:rsid w:val="00F221D0"/>
    <w:rsid w:val="00F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1E35CD-6D0F-47B7-BCF7-E3E4C25E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ind w:left="567" w:hanging="567"/>
      <w:jc w:val="center"/>
      <w:outlineLvl w:val="2"/>
    </w:pPr>
    <w:rPr>
      <w:b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center"/>
    </w:pPr>
    <w:rPr>
      <w:b/>
      <w:caps/>
      <w:sz w:val="26"/>
    </w:rPr>
  </w:style>
  <w:style w:type="paragraph" w:styleId="lfej">
    <w:name w:val="header"/>
    <w:basedOn w:val="Norml"/>
    <w:pPr>
      <w:tabs>
        <w:tab w:val="center" w:pos="4703"/>
        <w:tab w:val="right" w:pos="9406"/>
      </w:tabs>
    </w:p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styleId="Oldalszm">
    <w:name w:val="page number"/>
    <w:basedOn w:val="Bekezdsalapbettpusa"/>
  </w:style>
  <w:style w:type="character" w:customStyle="1" w:styleId="llbChar">
    <w:name w:val="Élőláb Char"/>
    <w:link w:val="llb"/>
    <w:uiPriority w:val="99"/>
    <w:rsid w:val="00D15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munkalap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19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r>
              <a:rPr lang="hu-HU"/>
              <a:t>kukorica</a:t>
            </a:r>
          </a:p>
        </c:rich>
      </c:tx>
      <c:layout>
        <c:manualLayout>
          <c:xMode val="edge"/>
          <c:yMode val="edge"/>
          <c:x val="0.40636042402826855"/>
          <c:y val="0.18604651162790697"/>
        </c:manualLayout>
      </c:layout>
      <c:overlay val="0"/>
      <c:spPr>
        <a:noFill/>
        <a:ln w="178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247349823321555"/>
          <c:y val="0.19269102990033224"/>
          <c:w val="0.70494699646643111"/>
          <c:h val="0.6843853820598007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ábraadat!$C$58</c:f>
              <c:strCache>
                <c:ptCount val="1"/>
                <c:pt idx="0">
                  <c:v>termésreakció</c:v>
                </c:pt>
              </c:strCache>
            </c:strRef>
          </c:tx>
          <c:spPr>
            <a:solidFill>
              <a:srgbClr val="FFFFFF"/>
            </a:solidFill>
            <a:ln w="222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7809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l">
                  <a:defRPr sz="561" b="0" i="0" u="none" strike="noStrike" baseline="0">
                    <a:solidFill>
                      <a:srgbClr val="000000"/>
                    </a:solidFill>
                    <a:latin typeface="Times New Roman CE"/>
                    <a:ea typeface="Times New Roman CE"/>
                    <a:cs typeface="Times New Roman CE"/>
                  </a:defRPr>
                </a:pPr>
                <a:endParaRPr lang="hu-HU"/>
              </a:p>
            </c:txPr>
            <c:dLblPos val="inBase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ábraadat!$B$59:$B$78</c:f>
              <c:strCache>
                <c:ptCount val="20"/>
                <c:pt idx="0">
                  <c:v>N1/N</c:v>
                </c:pt>
                <c:pt idx="1">
                  <c:v>N1P1/NP</c:v>
                </c:pt>
                <c:pt idx="2">
                  <c:v>N1K1/NK</c:v>
                </c:pt>
                <c:pt idx="3">
                  <c:v>N1P1K1/NPK</c:v>
                </c:pt>
                <c:pt idx="4">
                  <c:v>N2P1/NK</c:v>
                </c:pt>
                <c:pt idx="5">
                  <c:v>N2P2/NK</c:v>
                </c:pt>
                <c:pt idx="7">
                  <c:v>N1/N</c:v>
                </c:pt>
                <c:pt idx="8">
                  <c:v>N1P1/NP</c:v>
                </c:pt>
                <c:pt idx="9">
                  <c:v>N1K1/NK</c:v>
                </c:pt>
                <c:pt idx="10">
                  <c:v>N1P1K1/NPK</c:v>
                </c:pt>
                <c:pt idx="11">
                  <c:v>N2P1/NK</c:v>
                </c:pt>
                <c:pt idx="12">
                  <c:v>N2P2/NK</c:v>
                </c:pt>
                <c:pt idx="14">
                  <c:v>N1/N</c:v>
                </c:pt>
                <c:pt idx="15">
                  <c:v>N1P1/NP</c:v>
                </c:pt>
                <c:pt idx="16">
                  <c:v>N1K1/NK</c:v>
                </c:pt>
                <c:pt idx="17">
                  <c:v>N1P1K1/NPK</c:v>
                </c:pt>
                <c:pt idx="18">
                  <c:v>N2P1/NK</c:v>
                </c:pt>
                <c:pt idx="19">
                  <c:v>N2P2/NK</c:v>
                </c:pt>
              </c:strCache>
            </c:strRef>
          </c:cat>
          <c:val>
            <c:numRef>
              <c:f>ábraadat!$C$59:$C$78</c:f>
              <c:numCache>
                <c:formatCode>General</c:formatCode>
                <c:ptCount val="20"/>
                <c:pt idx="0">
                  <c:v>5.5400625000000012</c:v>
                </c:pt>
                <c:pt idx="1">
                  <c:v>6.0812499999999998</c:v>
                </c:pt>
                <c:pt idx="2">
                  <c:v>5.7531249999999998</c:v>
                </c:pt>
                <c:pt idx="3">
                  <c:v>6.5140624999999996</c:v>
                </c:pt>
                <c:pt idx="4">
                  <c:v>5.4829375000000002</c:v>
                </c:pt>
                <c:pt idx="5">
                  <c:v>5.6751250000000004</c:v>
                </c:pt>
                <c:pt idx="7">
                  <c:v>5.8268125</c:v>
                </c:pt>
                <c:pt idx="8">
                  <c:v>6.6501875000000004</c:v>
                </c:pt>
                <c:pt idx="9">
                  <c:v>5.8116250000000012</c:v>
                </c:pt>
                <c:pt idx="10">
                  <c:v>6.8082187499999982</c:v>
                </c:pt>
                <c:pt idx="11">
                  <c:v>5.9978125000000002</c:v>
                </c:pt>
                <c:pt idx="12">
                  <c:v>6.350625</c:v>
                </c:pt>
                <c:pt idx="14">
                  <c:v>5.8849583333333326</c:v>
                </c:pt>
                <c:pt idx="15">
                  <c:v>6.6159583333333343</c:v>
                </c:pt>
                <c:pt idx="16">
                  <c:v>5.9962916666666679</c:v>
                </c:pt>
                <c:pt idx="17">
                  <c:v>6.9290208333333316</c:v>
                </c:pt>
                <c:pt idx="18">
                  <c:v>6.2027083333333364</c:v>
                </c:pt>
                <c:pt idx="19">
                  <c:v>6.4187500000000002</c:v>
                </c:pt>
              </c:numCache>
            </c:numRef>
          </c:val>
        </c:ser>
        <c:ser>
          <c:idx val="1"/>
          <c:order val="1"/>
          <c:tx>
            <c:strRef>
              <c:f>ábraadat!$D$58</c:f>
              <c:strCache>
                <c:ptCount val="1"/>
                <c:pt idx="0">
                  <c:v>SzD5%</c:v>
                </c:pt>
              </c:strCache>
            </c:strRef>
          </c:tx>
          <c:spPr>
            <a:solidFill>
              <a:srgbClr val="C0C0C0"/>
            </a:solidFill>
            <a:ln w="222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ábraadat!$B$59:$B$78</c:f>
              <c:strCache>
                <c:ptCount val="20"/>
                <c:pt idx="0">
                  <c:v>N1/N</c:v>
                </c:pt>
                <c:pt idx="1">
                  <c:v>N1P1/NP</c:v>
                </c:pt>
                <c:pt idx="2">
                  <c:v>N1K1/NK</c:v>
                </c:pt>
                <c:pt idx="3">
                  <c:v>N1P1K1/NPK</c:v>
                </c:pt>
                <c:pt idx="4">
                  <c:v>N2P1/NK</c:v>
                </c:pt>
                <c:pt idx="5">
                  <c:v>N2P2/NK</c:v>
                </c:pt>
                <c:pt idx="7">
                  <c:v>N1/N</c:v>
                </c:pt>
                <c:pt idx="8">
                  <c:v>N1P1/NP</c:v>
                </c:pt>
                <c:pt idx="9">
                  <c:v>N1K1/NK</c:v>
                </c:pt>
                <c:pt idx="10">
                  <c:v>N1P1K1/NPK</c:v>
                </c:pt>
                <c:pt idx="11">
                  <c:v>N2P1/NK</c:v>
                </c:pt>
                <c:pt idx="12">
                  <c:v>N2P2/NK</c:v>
                </c:pt>
                <c:pt idx="14">
                  <c:v>N1/N</c:v>
                </c:pt>
                <c:pt idx="15">
                  <c:v>N1P1/NP</c:v>
                </c:pt>
                <c:pt idx="16">
                  <c:v>N1K1/NK</c:v>
                </c:pt>
                <c:pt idx="17">
                  <c:v>N1P1K1/NPK</c:v>
                </c:pt>
                <c:pt idx="18">
                  <c:v>N2P1/NK</c:v>
                </c:pt>
                <c:pt idx="19">
                  <c:v>N2P2/NK</c:v>
                </c:pt>
              </c:strCache>
            </c:strRef>
          </c:cat>
          <c:val>
            <c:numRef>
              <c:f>ábraadat!$D$59:$D$78</c:f>
              <c:numCache>
                <c:formatCode>General</c:formatCode>
                <c:ptCount val="20"/>
                <c:pt idx="0">
                  <c:v>0.39635142409375818</c:v>
                </c:pt>
                <c:pt idx="1">
                  <c:v>0.39635142409375818</c:v>
                </c:pt>
                <c:pt idx="2">
                  <c:v>0.39635142409375818</c:v>
                </c:pt>
                <c:pt idx="3">
                  <c:v>0.39635142409375818</c:v>
                </c:pt>
                <c:pt idx="4">
                  <c:v>0.39635142409375818</c:v>
                </c:pt>
                <c:pt idx="5">
                  <c:v>0.39635142409375818</c:v>
                </c:pt>
                <c:pt idx="7">
                  <c:v>0.32501687608870972</c:v>
                </c:pt>
                <c:pt idx="8">
                  <c:v>0.32501687608870972</c:v>
                </c:pt>
                <c:pt idx="9">
                  <c:v>0.32501687608870972</c:v>
                </c:pt>
                <c:pt idx="10">
                  <c:v>0.32501687608870972</c:v>
                </c:pt>
                <c:pt idx="11">
                  <c:v>0.32501687608870972</c:v>
                </c:pt>
                <c:pt idx="12">
                  <c:v>0.32501687608870972</c:v>
                </c:pt>
                <c:pt idx="14">
                  <c:v>0.30959725709619135</c:v>
                </c:pt>
                <c:pt idx="15">
                  <c:v>0.30959725709619135</c:v>
                </c:pt>
                <c:pt idx="16">
                  <c:v>0.30959725709619135</c:v>
                </c:pt>
                <c:pt idx="17">
                  <c:v>0.30959725709619135</c:v>
                </c:pt>
                <c:pt idx="18">
                  <c:v>0.30959725709619135</c:v>
                </c:pt>
                <c:pt idx="19">
                  <c:v>0.30959725709619135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275603512"/>
        <c:axId val="275602728"/>
      </c:barChart>
      <c:catAx>
        <c:axId val="275603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75602728"/>
        <c:crosses val="autoZero"/>
        <c:auto val="1"/>
        <c:lblAlgn val="ctr"/>
        <c:lblOffset val="100"/>
        <c:noMultiLvlLbl val="0"/>
      </c:catAx>
      <c:valAx>
        <c:axId val="275602728"/>
        <c:scaling>
          <c:orientation val="minMax"/>
          <c:max val="8"/>
        </c:scaling>
        <c:delete val="0"/>
        <c:axPos val="l"/>
        <c:majorGridlines>
          <c:spPr>
            <a:ln w="2226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19" b="0" i="0" u="none" strike="noStrike" baseline="0">
                    <a:solidFill>
                      <a:srgbClr val="000000"/>
                    </a:solidFill>
                    <a:latin typeface="Times New Roman CE"/>
                    <a:ea typeface="Times New Roman CE"/>
                    <a:cs typeface="Times New Roman CE"/>
                  </a:defRPr>
                </a:pPr>
                <a:r>
                  <a:rPr lang="hu-HU" sz="719" b="0" i="0" u="none" strike="noStrike" baseline="0">
                    <a:solidFill>
                      <a:srgbClr val="000000"/>
                    </a:solidFill>
                    <a:latin typeface="Times New Roman CE"/>
                    <a:cs typeface="Times New Roman CE"/>
                  </a:rPr>
                  <a:t>szemtermés t ha</a:t>
                </a:r>
                <a:r>
                  <a:rPr lang="hu-HU" sz="719" b="0" i="0" u="none" strike="noStrike" baseline="30000">
                    <a:solidFill>
                      <a:srgbClr val="000000"/>
                    </a:solidFill>
                    <a:latin typeface="Times New Roman CE"/>
                    <a:cs typeface="Times New Roman CE"/>
                  </a:rPr>
                  <a:t>-1</a:t>
                </a:r>
              </a:p>
            </c:rich>
          </c:tx>
          <c:layout>
            <c:manualLayout>
              <c:xMode val="edge"/>
              <c:yMode val="edge"/>
              <c:x val="1.9434628975265017E-2"/>
              <c:y val="0.35880398671096347"/>
            </c:manualLayout>
          </c:layout>
          <c:overlay val="0"/>
          <c:spPr>
            <a:noFill/>
            <a:ln w="1780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22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66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hu-HU"/>
          </a:p>
        </c:txPr>
        <c:crossAx val="275603512"/>
        <c:crosses val="autoZero"/>
        <c:crossBetween val="between"/>
        <c:majorUnit val="2"/>
        <c:minorUnit val="1"/>
      </c:valAx>
      <c:spPr>
        <a:noFill/>
        <a:ln w="1780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19" b="0" i="0" u="none" strike="noStrike" baseline="0">
          <a:solidFill>
            <a:srgbClr val="000000"/>
          </a:solidFill>
          <a:latin typeface="Times New Roman CE"/>
          <a:ea typeface="Times New Roman CE"/>
          <a:cs typeface="Times New Roman CE"/>
        </a:defRPr>
      </a:pPr>
      <a:endParaRPr lang="hu-H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11458</Characters>
  <Application>Microsoft Office Word</Application>
  <DocSecurity>0</DocSecurity>
  <Lines>95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FOSZFOR-REAKCIÓK ÖSSZEHASONLÍTÓ ELEMZÉSE ERDŐMARADVÁNYOS CSERNOZJOM TALAJON</vt:lpstr>
      <vt:lpstr>FOSZFOR-REAKCIÓK ÖSSZEHASONLÍTÓ ELEMZÉSE ERDŐMARADVÁNYOS CSERNOZJOM TALAJON</vt:lpstr>
    </vt:vector>
  </TitlesOfParts>
  <Company>MGKI</Company>
  <LinksUpToDate>false</LinksUpToDate>
  <CharactersWithSpaces>13092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FOSZFOR-REAKCIÓK ÖSSZEHASONLÍTÓ ELEMZÉSE ERDŐMARADVÁNYOS CSERNOZJOM TALAJON</dc:title>
  <dc:subject/>
  <dc:creator>Kőszegi Béla</dc:creator>
  <cp:keywords/>
  <cp:lastModifiedBy>Karsai Ildiko</cp:lastModifiedBy>
  <cp:revision>2</cp:revision>
  <cp:lastPrinted>2018-12-03T09:33:00Z</cp:lastPrinted>
  <dcterms:created xsi:type="dcterms:W3CDTF">2018-12-04T07:48:00Z</dcterms:created>
  <dcterms:modified xsi:type="dcterms:W3CDTF">2018-12-04T07:48:00Z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233488-06c6-4c2b-96ac-e256c4376f84_Enabled">
    <vt:lpwstr>True</vt:lpwstr>
  </property>
  <property fmtid="{D5CDD505-2E9C-101B-9397-08002B2CF9AE}" pid="3" name="MSIP_Label_dc233488-06c6-4c2b-96ac-e256c4376f84_SiteId">
    <vt:lpwstr>ae4df1f7-611e-444f-897e-f964e1205171</vt:lpwstr>
  </property>
  <property fmtid="{D5CDD505-2E9C-101B-9397-08002B2CF9AE}" pid="4" name="MSIP_Label_dc233488-06c6-4c2b-96ac-e256c4376f84_Owner">
    <vt:lpwstr>nt185067@ncr.com</vt:lpwstr>
  </property>
  <property fmtid="{D5CDD505-2E9C-101B-9397-08002B2CF9AE}" pid="5" name="MSIP_Label_dc233488-06c6-4c2b-96ac-e256c4376f84_SetDate">
    <vt:lpwstr>2018-12-03T13:00:07.3569284Z</vt:lpwstr>
  </property>
  <property fmtid="{D5CDD505-2E9C-101B-9397-08002B2CF9AE}" pid="6" name="MSIP_Label_dc233488-06c6-4c2b-96ac-e256c4376f84_Name">
    <vt:lpwstr>Confidential</vt:lpwstr>
  </property>
  <property fmtid="{D5CDD505-2E9C-101B-9397-08002B2CF9AE}" pid="7" name="MSIP_Label_dc233488-06c6-4c2b-96ac-e256c4376f84_Application">
    <vt:lpwstr>Microsoft Azure Information Protection</vt:lpwstr>
  </property>
  <property fmtid="{D5CDD505-2E9C-101B-9397-08002B2CF9AE}" pid="8" name="MSIP_Label_dc233488-06c6-4c2b-96ac-e256c4376f84_Extended_MSFT_Method">
    <vt:lpwstr>Manual</vt:lpwstr>
  </property>
  <property fmtid="{D5CDD505-2E9C-101B-9397-08002B2CF9AE}" pid="9" name="Sensitivity">
    <vt:lpwstr>Confidential</vt:lpwstr>
  </property>
</Properties>
</file>